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5" w:rsidRDefault="002016B5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5369BC">
        <w:rPr>
          <w:b/>
          <w:sz w:val="24"/>
          <w:szCs w:val="24"/>
          <w:lang w:val="uk-UA"/>
        </w:rPr>
        <w:t>к</w:t>
      </w:r>
      <w:r w:rsidR="00663477" w:rsidRPr="00663477">
        <w:rPr>
          <w:b/>
          <w:sz w:val="24"/>
          <w:szCs w:val="24"/>
          <w:lang w:val="uk-UA"/>
        </w:rPr>
        <w:t>омплекс</w:t>
      </w:r>
      <w:r w:rsidR="00663477">
        <w:rPr>
          <w:b/>
          <w:sz w:val="24"/>
          <w:szCs w:val="24"/>
          <w:lang w:val="uk-UA"/>
        </w:rPr>
        <w:t>у</w:t>
      </w:r>
      <w:r w:rsidR="00663477" w:rsidRPr="00663477">
        <w:rPr>
          <w:b/>
          <w:sz w:val="24"/>
          <w:szCs w:val="24"/>
          <w:lang w:val="uk-UA"/>
        </w:rPr>
        <w:t xml:space="preserve"> нежитлових будівель та спор</w:t>
      </w:r>
      <w:r w:rsidR="005369BC">
        <w:rPr>
          <w:b/>
          <w:sz w:val="24"/>
          <w:szCs w:val="24"/>
          <w:lang w:val="uk-UA"/>
        </w:rPr>
        <w:t xml:space="preserve">уд загальною площею 714,6 </w:t>
      </w:r>
      <w:proofErr w:type="spellStart"/>
      <w:r w:rsidR="005369BC">
        <w:rPr>
          <w:b/>
          <w:sz w:val="24"/>
          <w:szCs w:val="24"/>
          <w:lang w:val="uk-UA"/>
        </w:rPr>
        <w:t>кв</w:t>
      </w:r>
      <w:proofErr w:type="spellEnd"/>
      <w:r w:rsidR="005369BC">
        <w:rPr>
          <w:b/>
          <w:sz w:val="24"/>
          <w:szCs w:val="24"/>
          <w:lang w:val="uk-UA"/>
        </w:rPr>
        <w:t>. м,</w:t>
      </w:r>
      <w:r w:rsidR="00663477" w:rsidRPr="00663477">
        <w:rPr>
          <w:b/>
          <w:sz w:val="24"/>
          <w:szCs w:val="24"/>
          <w:lang w:val="uk-UA"/>
        </w:rPr>
        <w:t xml:space="preserve"> у складі: адміністративно-</w:t>
      </w:r>
      <w:r w:rsidR="00783669">
        <w:rPr>
          <w:b/>
          <w:sz w:val="24"/>
          <w:szCs w:val="24"/>
          <w:lang w:val="uk-UA"/>
        </w:rPr>
        <w:t>виробниче</w:t>
      </w:r>
      <w:r w:rsidR="00663477" w:rsidRPr="00663477">
        <w:rPr>
          <w:b/>
          <w:sz w:val="24"/>
          <w:szCs w:val="24"/>
          <w:lang w:val="uk-UA"/>
        </w:rPr>
        <w:t xml:space="preserve"> приміщення літ. А-1 площею 397,5 </w:t>
      </w:r>
      <w:proofErr w:type="spellStart"/>
      <w:r w:rsidR="00663477" w:rsidRPr="00663477">
        <w:rPr>
          <w:b/>
          <w:sz w:val="24"/>
          <w:szCs w:val="24"/>
          <w:lang w:val="uk-UA"/>
        </w:rPr>
        <w:t>кв</w:t>
      </w:r>
      <w:proofErr w:type="spellEnd"/>
      <w:r w:rsidR="00663477" w:rsidRPr="00663477">
        <w:rPr>
          <w:b/>
          <w:sz w:val="24"/>
          <w:szCs w:val="24"/>
          <w:lang w:val="uk-UA"/>
        </w:rPr>
        <w:t xml:space="preserve">. м; приміщення віварію літ. Б-1 площею 80,1 </w:t>
      </w:r>
      <w:proofErr w:type="spellStart"/>
      <w:r w:rsidR="00663477" w:rsidRPr="00663477">
        <w:rPr>
          <w:b/>
          <w:sz w:val="24"/>
          <w:szCs w:val="24"/>
          <w:lang w:val="uk-UA"/>
        </w:rPr>
        <w:t>кв</w:t>
      </w:r>
      <w:proofErr w:type="spellEnd"/>
      <w:r w:rsidR="00663477" w:rsidRPr="00663477">
        <w:rPr>
          <w:b/>
          <w:sz w:val="24"/>
          <w:szCs w:val="24"/>
          <w:lang w:val="uk-UA"/>
        </w:rPr>
        <w:t xml:space="preserve">. м; підсобне приміщення літ. В-1 площею 59,1 </w:t>
      </w:r>
      <w:proofErr w:type="spellStart"/>
      <w:r w:rsidR="00663477" w:rsidRPr="00663477">
        <w:rPr>
          <w:b/>
          <w:sz w:val="24"/>
          <w:szCs w:val="24"/>
          <w:lang w:val="uk-UA"/>
        </w:rPr>
        <w:t>кв</w:t>
      </w:r>
      <w:proofErr w:type="spellEnd"/>
      <w:r w:rsidR="00663477" w:rsidRPr="00663477">
        <w:rPr>
          <w:b/>
          <w:sz w:val="24"/>
          <w:szCs w:val="24"/>
          <w:lang w:val="uk-UA"/>
        </w:rPr>
        <w:t xml:space="preserve">. м; сарай-гараж літ. Г-1 площею 159,8 </w:t>
      </w:r>
      <w:proofErr w:type="spellStart"/>
      <w:r w:rsidR="00663477" w:rsidRPr="00663477">
        <w:rPr>
          <w:b/>
          <w:sz w:val="24"/>
          <w:szCs w:val="24"/>
          <w:lang w:val="uk-UA"/>
        </w:rPr>
        <w:t>кв</w:t>
      </w:r>
      <w:proofErr w:type="spellEnd"/>
      <w:r w:rsidR="00663477" w:rsidRPr="00663477">
        <w:rPr>
          <w:b/>
          <w:sz w:val="24"/>
          <w:szCs w:val="24"/>
          <w:lang w:val="uk-UA"/>
        </w:rPr>
        <w:t xml:space="preserve">. м; погріб літ. Д-1 площею 18,1 </w:t>
      </w:r>
      <w:proofErr w:type="spellStart"/>
      <w:r w:rsidR="00663477" w:rsidRPr="00663477">
        <w:rPr>
          <w:b/>
          <w:sz w:val="24"/>
          <w:szCs w:val="24"/>
          <w:lang w:val="uk-UA"/>
        </w:rPr>
        <w:t>кв</w:t>
      </w:r>
      <w:proofErr w:type="spellEnd"/>
      <w:r w:rsidR="00663477" w:rsidRPr="00663477">
        <w:rPr>
          <w:b/>
          <w:sz w:val="24"/>
          <w:szCs w:val="24"/>
          <w:lang w:val="uk-UA"/>
        </w:rPr>
        <w:t xml:space="preserve">. м; </w:t>
      </w:r>
      <w:proofErr w:type="spellStart"/>
      <w:r w:rsidR="00663477" w:rsidRPr="00663477">
        <w:rPr>
          <w:b/>
          <w:sz w:val="24"/>
          <w:szCs w:val="24"/>
          <w:lang w:val="uk-UA"/>
        </w:rPr>
        <w:t>піднавіс</w:t>
      </w:r>
      <w:proofErr w:type="spellEnd"/>
      <w:r w:rsidR="00663477" w:rsidRPr="00663477">
        <w:rPr>
          <w:b/>
          <w:sz w:val="24"/>
          <w:szCs w:val="24"/>
          <w:lang w:val="uk-UA"/>
        </w:rPr>
        <w:t xml:space="preserve"> літ. Е; огорожа – 1-4</w:t>
      </w:r>
      <w:r w:rsidR="00B4218F">
        <w:rPr>
          <w:b/>
          <w:sz w:val="24"/>
          <w:lang w:val="uk-UA"/>
        </w:rPr>
        <w:t>, що знаходи</w:t>
      </w:r>
      <w:r w:rsidR="00614F44" w:rsidRPr="00614F44">
        <w:rPr>
          <w:b/>
          <w:sz w:val="24"/>
          <w:lang w:val="uk-UA"/>
        </w:rPr>
        <w:t xml:space="preserve">ться за </w:t>
      </w:r>
      <w:proofErr w:type="spellStart"/>
      <w:r w:rsidR="00614F44" w:rsidRPr="00614F44">
        <w:rPr>
          <w:b/>
          <w:sz w:val="24"/>
          <w:lang w:val="uk-UA"/>
        </w:rPr>
        <w:t>адресою</w:t>
      </w:r>
      <w:proofErr w:type="spellEnd"/>
      <w:r w:rsidR="00614F44" w:rsidRPr="00614F44">
        <w:rPr>
          <w:b/>
          <w:sz w:val="24"/>
          <w:lang w:val="uk-UA"/>
        </w:rPr>
        <w:t xml:space="preserve">: </w:t>
      </w:r>
      <w:r w:rsidR="00663477" w:rsidRPr="00663477">
        <w:rPr>
          <w:b/>
          <w:sz w:val="24"/>
          <w:lang w:val="uk-UA"/>
        </w:rPr>
        <w:t xml:space="preserve">Хмельницька обл., </w:t>
      </w:r>
      <w:proofErr w:type="spellStart"/>
      <w:r w:rsidR="00663477" w:rsidRPr="00663477">
        <w:rPr>
          <w:b/>
          <w:sz w:val="24"/>
          <w:lang w:val="uk-UA"/>
        </w:rPr>
        <w:t>Чемеровецький</w:t>
      </w:r>
      <w:proofErr w:type="spellEnd"/>
      <w:r w:rsidR="00663477" w:rsidRPr="00663477">
        <w:rPr>
          <w:b/>
          <w:sz w:val="24"/>
          <w:lang w:val="uk-UA"/>
        </w:rPr>
        <w:t xml:space="preserve"> р-н,                                        смт Чемерівці, вул. Центральна, 64г </w:t>
      </w:r>
      <w:r w:rsidR="00614F44" w:rsidRPr="00614F44">
        <w:rPr>
          <w:b/>
          <w:sz w:val="24"/>
          <w:lang w:val="uk-UA"/>
        </w:rPr>
        <w:t xml:space="preserve"> 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5369BC">
        <w:rPr>
          <w:sz w:val="24"/>
          <w:szCs w:val="24"/>
          <w:lang w:val="uk-UA"/>
        </w:rPr>
        <w:t>к</w:t>
      </w:r>
      <w:r w:rsidR="00E15836" w:rsidRPr="00E15836">
        <w:rPr>
          <w:sz w:val="24"/>
          <w:szCs w:val="24"/>
          <w:lang w:val="uk-UA"/>
        </w:rPr>
        <w:t>омплекс нежитлових будівель та спор</w:t>
      </w:r>
      <w:r w:rsidR="005369BC">
        <w:rPr>
          <w:sz w:val="24"/>
          <w:szCs w:val="24"/>
          <w:lang w:val="uk-UA"/>
        </w:rPr>
        <w:t xml:space="preserve">уд загальною площею 714,6 </w:t>
      </w:r>
      <w:proofErr w:type="spellStart"/>
      <w:r w:rsidR="005369BC">
        <w:rPr>
          <w:sz w:val="24"/>
          <w:szCs w:val="24"/>
          <w:lang w:val="uk-UA"/>
        </w:rPr>
        <w:t>кв</w:t>
      </w:r>
      <w:proofErr w:type="spellEnd"/>
      <w:r w:rsidR="005369BC">
        <w:rPr>
          <w:sz w:val="24"/>
          <w:szCs w:val="24"/>
          <w:lang w:val="uk-UA"/>
        </w:rPr>
        <w:t>. м,</w:t>
      </w:r>
      <w:r w:rsidR="00E15836" w:rsidRPr="00E15836">
        <w:rPr>
          <w:sz w:val="24"/>
          <w:szCs w:val="24"/>
          <w:lang w:val="uk-UA"/>
        </w:rPr>
        <w:t xml:space="preserve"> у складі: адміністративно-</w:t>
      </w:r>
      <w:r w:rsidR="00783669">
        <w:rPr>
          <w:sz w:val="24"/>
          <w:szCs w:val="24"/>
          <w:lang w:val="uk-UA"/>
        </w:rPr>
        <w:t>виробниче</w:t>
      </w:r>
      <w:r w:rsidR="00E15836" w:rsidRPr="00E15836">
        <w:rPr>
          <w:sz w:val="24"/>
          <w:szCs w:val="24"/>
          <w:lang w:val="uk-UA"/>
        </w:rPr>
        <w:t xml:space="preserve"> приміщення літ. А-1 площею 397,5 </w:t>
      </w:r>
      <w:proofErr w:type="spellStart"/>
      <w:r w:rsidR="00E15836" w:rsidRPr="00E15836">
        <w:rPr>
          <w:sz w:val="24"/>
          <w:szCs w:val="24"/>
          <w:lang w:val="uk-UA"/>
        </w:rPr>
        <w:t>кв</w:t>
      </w:r>
      <w:proofErr w:type="spellEnd"/>
      <w:r w:rsidR="00E15836" w:rsidRPr="00E15836">
        <w:rPr>
          <w:sz w:val="24"/>
          <w:szCs w:val="24"/>
          <w:lang w:val="uk-UA"/>
        </w:rPr>
        <w:t xml:space="preserve">. м; приміщення віварію літ. Б-1 площею 80,1 </w:t>
      </w:r>
      <w:proofErr w:type="spellStart"/>
      <w:r w:rsidR="00E15836" w:rsidRPr="00E15836">
        <w:rPr>
          <w:sz w:val="24"/>
          <w:szCs w:val="24"/>
          <w:lang w:val="uk-UA"/>
        </w:rPr>
        <w:t>кв</w:t>
      </w:r>
      <w:proofErr w:type="spellEnd"/>
      <w:r w:rsidR="00E15836" w:rsidRPr="00E15836">
        <w:rPr>
          <w:sz w:val="24"/>
          <w:szCs w:val="24"/>
          <w:lang w:val="uk-UA"/>
        </w:rPr>
        <w:t xml:space="preserve">. м; підсобне приміщення літ. В-1 площею 59,1 </w:t>
      </w:r>
      <w:proofErr w:type="spellStart"/>
      <w:r w:rsidR="00E15836" w:rsidRPr="00E15836">
        <w:rPr>
          <w:sz w:val="24"/>
          <w:szCs w:val="24"/>
          <w:lang w:val="uk-UA"/>
        </w:rPr>
        <w:t>кв</w:t>
      </w:r>
      <w:proofErr w:type="spellEnd"/>
      <w:r w:rsidR="00E15836" w:rsidRPr="00E15836">
        <w:rPr>
          <w:sz w:val="24"/>
          <w:szCs w:val="24"/>
          <w:lang w:val="uk-UA"/>
        </w:rPr>
        <w:t xml:space="preserve">. м; сарай-гараж літ. Г-1 площею 159,8 </w:t>
      </w:r>
      <w:proofErr w:type="spellStart"/>
      <w:r w:rsidR="00E15836" w:rsidRPr="00E15836">
        <w:rPr>
          <w:sz w:val="24"/>
          <w:szCs w:val="24"/>
          <w:lang w:val="uk-UA"/>
        </w:rPr>
        <w:t>кв</w:t>
      </w:r>
      <w:proofErr w:type="spellEnd"/>
      <w:r w:rsidR="00E15836" w:rsidRPr="00E15836">
        <w:rPr>
          <w:sz w:val="24"/>
          <w:szCs w:val="24"/>
          <w:lang w:val="uk-UA"/>
        </w:rPr>
        <w:t xml:space="preserve">. м; погріб літ. Д-1 площею 18,1 </w:t>
      </w:r>
      <w:proofErr w:type="spellStart"/>
      <w:r w:rsidR="00E15836" w:rsidRPr="00E15836">
        <w:rPr>
          <w:sz w:val="24"/>
          <w:szCs w:val="24"/>
          <w:lang w:val="uk-UA"/>
        </w:rPr>
        <w:t>кв</w:t>
      </w:r>
      <w:proofErr w:type="spellEnd"/>
      <w:r w:rsidR="00E15836" w:rsidRPr="00E15836">
        <w:rPr>
          <w:sz w:val="24"/>
          <w:szCs w:val="24"/>
          <w:lang w:val="uk-UA"/>
        </w:rPr>
        <w:t xml:space="preserve">. м; </w:t>
      </w:r>
      <w:proofErr w:type="spellStart"/>
      <w:r w:rsidR="00E15836" w:rsidRPr="00E15836">
        <w:rPr>
          <w:sz w:val="24"/>
          <w:szCs w:val="24"/>
          <w:lang w:val="uk-UA"/>
        </w:rPr>
        <w:t>піднавіс</w:t>
      </w:r>
      <w:proofErr w:type="spellEnd"/>
      <w:r w:rsidR="00E15836" w:rsidRPr="00E15836">
        <w:rPr>
          <w:sz w:val="24"/>
          <w:szCs w:val="24"/>
          <w:lang w:val="uk-UA"/>
        </w:rPr>
        <w:t xml:space="preserve"> літ. Е; огорожа – 1-4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E15836" w:rsidRPr="00E15836">
        <w:rPr>
          <w:sz w:val="24"/>
          <w:szCs w:val="24"/>
          <w:lang w:val="uk-UA"/>
        </w:rPr>
        <w:t xml:space="preserve">Хмельницька обл., </w:t>
      </w:r>
      <w:proofErr w:type="spellStart"/>
      <w:r w:rsidR="00E15836" w:rsidRPr="00E15836">
        <w:rPr>
          <w:sz w:val="24"/>
          <w:szCs w:val="24"/>
          <w:lang w:val="uk-UA"/>
        </w:rPr>
        <w:t>Чемеровецький</w:t>
      </w:r>
      <w:proofErr w:type="spellEnd"/>
      <w:r w:rsidR="00E15836" w:rsidRPr="00E15836">
        <w:rPr>
          <w:sz w:val="24"/>
          <w:szCs w:val="24"/>
          <w:lang w:val="uk-UA"/>
        </w:rPr>
        <w:t xml:space="preserve"> р-н,</w:t>
      </w:r>
      <w:r w:rsidR="00E15836">
        <w:rPr>
          <w:sz w:val="24"/>
          <w:szCs w:val="24"/>
          <w:lang w:val="uk-UA"/>
        </w:rPr>
        <w:t xml:space="preserve"> </w:t>
      </w:r>
      <w:r w:rsidR="00E15836" w:rsidRPr="00E15836">
        <w:rPr>
          <w:sz w:val="24"/>
          <w:szCs w:val="24"/>
          <w:lang w:val="uk-UA"/>
        </w:rPr>
        <w:t xml:space="preserve">смт Чемерівці, </w:t>
      </w:r>
      <w:r w:rsidR="00E15836">
        <w:rPr>
          <w:sz w:val="24"/>
          <w:szCs w:val="24"/>
          <w:lang w:val="uk-UA"/>
        </w:rPr>
        <w:t xml:space="preserve">                          </w:t>
      </w:r>
      <w:r w:rsidR="00E15836" w:rsidRPr="00E15836">
        <w:rPr>
          <w:sz w:val="24"/>
          <w:szCs w:val="24"/>
          <w:lang w:val="uk-UA"/>
        </w:rPr>
        <w:t xml:space="preserve">вул. Центральна, 64г  </w:t>
      </w:r>
    </w:p>
    <w:p w:rsidR="004440E6" w:rsidRPr="00E3570B" w:rsidRDefault="00241AC1" w:rsidP="004440E6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алансоутримувач: </w:t>
      </w:r>
      <w:proofErr w:type="spellStart"/>
      <w:r w:rsidR="00E15836">
        <w:rPr>
          <w:sz w:val="24"/>
          <w:lang w:val="uk-UA"/>
        </w:rPr>
        <w:t>Чемеровецька</w:t>
      </w:r>
      <w:proofErr w:type="spellEnd"/>
      <w:r w:rsidR="00E15836" w:rsidRPr="00E15836">
        <w:rPr>
          <w:sz w:val="24"/>
          <w:lang w:val="uk-UA"/>
        </w:rPr>
        <w:t xml:space="preserve"> районн</w:t>
      </w:r>
      <w:r w:rsidR="00E15836">
        <w:rPr>
          <w:sz w:val="24"/>
          <w:lang w:val="uk-UA"/>
        </w:rPr>
        <w:t>а</w:t>
      </w:r>
      <w:r w:rsidR="00E15836" w:rsidRPr="00E15836">
        <w:rPr>
          <w:sz w:val="24"/>
          <w:lang w:val="uk-UA"/>
        </w:rPr>
        <w:t xml:space="preserve"> державн</w:t>
      </w:r>
      <w:r w:rsidR="00E15836">
        <w:rPr>
          <w:sz w:val="24"/>
          <w:lang w:val="uk-UA"/>
        </w:rPr>
        <w:t>а</w:t>
      </w:r>
      <w:r w:rsidR="00E15836" w:rsidRPr="00E15836">
        <w:rPr>
          <w:sz w:val="24"/>
          <w:lang w:val="uk-UA"/>
        </w:rPr>
        <w:t xml:space="preserve"> лікарн</w:t>
      </w:r>
      <w:r w:rsidR="00E15836">
        <w:rPr>
          <w:sz w:val="24"/>
          <w:lang w:val="uk-UA"/>
        </w:rPr>
        <w:t>я</w:t>
      </w:r>
      <w:r w:rsidR="00E15836" w:rsidRPr="00E15836">
        <w:rPr>
          <w:sz w:val="24"/>
          <w:lang w:val="uk-UA"/>
        </w:rPr>
        <w:t xml:space="preserve"> ветеринарної медицини, код за ЄДРПОУ 00712019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адрес</w:t>
      </w:r>
      <w:r w:rsidR="005369BC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: </w:t>
      </w:r>
      <w:r w:rsidR="00E15836" w:rsidRPr="00E15836">
        <w:rPr>
          <w:sz w:val="24"/>
          <w:szCs w:val="24"/>
          <w:lang w:val="uk-UA"/>
        </w:rPr>
        <w:t xml:space="preserve">Хмельницька обл., </w:t>
      </w:r>
      <w:proofErr w:type="spellStart"/>
      <w:r w:rsidR="00E15836" w:rsidRPr="00E15836">
        <w:rPr>
          <w:sz w:val="24"/>
          <w:szCs w:val="24"/>
          <w:lang w:val="uk-UA"/>
        </w:rPr>
        <w:t>Чемеровецький</w:t>
      </w:r>
      <w:proofErr w:type="spellEnd"/>
      <w:r w:rsidR="00E15836" w:rsidRPr="00E15836">
        <w:rPr>
          <w:sz w:val="24"/>
          <w:szCs w:val="24"/>
          <w:lang w:val="uk-UA"/>
        </w:rPr>
        <w:t xml:space="preserve"> р-н, </w:t>
      </w:r>
      <w:r w:rsidR="005369BC">
        <w:rPr>
          <w:sz w:val="24"/>
          <w:szCs w:val="24"/>
          <w:lang w:val="uk-UA"/>
        </w:rPr>
        <w:t xml:space="preserve">          </w:t>
      </w:r>
      <w:r w:rsidR="00E15836" w:rsidRPr="00E15836">
        <w:rPr>
          <w:sz w:val="24"/>
          <w:szCs w:val="24"/>
          <w:lang w:val="uk-UA"/>
        </w:rPr>
        <w:t>смт Чемерівці</w:t>
      </w:r>
      <w:r w:rsidR="00E15836">
        <w:rPr>
          <w:sz w:val="24"/>
          <w:szCs w:val="24"/>
          <w:lang w:val="uk-UA"/>
        </w:rPr>
        <w:t>, вул. Пушкіна, 21</w:t>
      </w:r>
      <w:r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proofErr w:type="spellStart"/>
      <w:r w:rsidR="004440E6" w:rsidRPr="00D54ECE">
        <w:rPr>
          <w:sz w:val="24"/>
          <w:szCs w:val="24"/>
          <w:lang w:val="uk-UA"/>
        </w:rPr>
        <w:t>тел</w:t>
      </w:r>
      <w:proofErr w:type="spellEnd"/>
      <w:r w:rsidR="004440E6" w:rsidRPr="00D54ECE">
        <w:rPr>
          <w:sz w:val="24"/>
          <w:szCs w:val="24"/>
          <w:lang w:val="uk-UA"/>
        </w:rPr>
        <w:t>. (03</w:t>
      </w:r>
      <w:r w:rsidR="004440E6">
        <w:rPr>
          <w:sz w:val="24"/>
          <w:szCs w:val="24"/>
          <w:lang w:val="uk-UA"/>
        </w:rPr>
        <w:t>8</w:t>
      </w:r>
      <w:r w:rsidR="00E15836">
        <w:rPr>
          <w:sz w:val="24"/>
          <w:szCs w:val="24"/>
          <w:lang w:val="uk-UA"/>
        </w:rPr>
        <w:t>59</w:t>
      </w:r>
      <w:r w:rsidR="004440E6" w:rsidRPr="00D54ECE">
        <w:rPr>
          <w:sz w:val="24"/>
          <w:szCs w:val="24"/>
          <w:lang w:val="uk-UA"/>
        </w:rPr>
        <w:t xml:space="preserve">) </w:t>
      </w:r>
      <w:r w:rsidR="00E15836">
        <w:rPr>
          <w:sz w:val="24"/>
          <w:szCs w:val="24"/>
          <w:lang w:val="uk-UA"/>
        </w:rPr>
        <w:t>9</w:t>
      </w:r>
      <w:r w:rsidR="004440E6">
        <w:rPr>
          <w:sz w:val="24"/>
          <w:szCs w:val="24"/>
          <w:lang w:val="uk-UA"/>
        </w:rPr>
        <w:t>-</w:t>
      </w:r>
      <w:r w:rsidR="00E15836">
        <w:rPr>
          <w:sz w:val="24"/>
          <w:szCs w:val="24"/>
          <w:lang w:val="uk-UA"/>
        </w:rPr>
        <w:t>10</w:t>
      </w:r>
      <w:r w:rsidR="004440E6" w:rsidRPr="00D54ECE">
        <w:rPr>
          <w:sz w:val="24"/>
          <w:szCs w:val="24"/>
          <w:lang w:val="uk-UA"/>
        </w:rPr>
        <w:t>-</w:t>
      </w:r>
      <w:r w:rsidR="00E15836">
        <w:rPr>
          <w:sz w:val="24"/>
          <w:szCs w:val="24"/>
          <w:lang w:val="uk-UA"/>
        </w:rPr>
        <w:t>13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4"/>
        <w:gridCol w:w="731"/>
        <w:gridCol w:w="459"/>
        <w:gridCol w:w="1962"/>
        <w:gridCol w:w="1424"/>
        <w:gridCol w:w="1872"/>
      </w:tblGrid>
      <w:tr w:rsidR="005369BC" w:rsidRPr="005578B5" w:rsidTr="006C5A6E">
        <w:trPr>
          <w:cantSplit/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BC" w:rsidRPr="00492C22" w:rsidRDefault="005369BC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BC" w:rsidRPr="00492C22" w:rsidRDefault="005369BC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BC" w:rsidRPr="00492C22" w:rsidRDefault="005369BC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9BC" w:rsidRPr="00492C22" w:rsidRDefault="005369BC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BC" w:rsidRPr="00492C22" w:rsidRDefault="005369BC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BC" w:rsidRPr="00492C22" w:rsidRDefault="005369BC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BC" w:rsidRPr="00492C22" w:rsidRDefault="005369BC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5369BC" w:rsidRPr="00896F12" w:rsidTr="006C5A6E">
        <w:trPr>
          <w:cantSplit/>
          <w:trHeight w:val="1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C" w:rsidRPr="00896F12" w:rsidRDefault="006C5A6E" w:rsidP="00783669">
            <w:pPr>
              <w:widowControl w:val="0"/>
              <w:spacing w:line="226" w:lineRule="exact"/>
              <w:rPr>
                <w:sz w:val="22"/>
                <w:szCs w:val="22"/>
                <w:lang w:val="uk-UA"/>
              </w:rPr>
            </w:pPr>
            <w:r w:rsidRPr="00896F12">
              <w:rPr>
                <w:sz w:val="22"/>
                <w:szCs w:val="22"/>
                <w:lang w:val="uk-UA"/>
              </w:rPr>
              <w:t>Комплекс нежитлових будівель та споруд у складі:</w:t>
            </w:r>
          </w:p>
          <w:p w:rsidR="006C5A6E" w:rsidRPr="00896F12" w:rsidRDefault="006C5A6E" w:rsidP="00783669">
            <w:pPr>
              <w:widowControl w:val="0"/>
              <w:spacing w:line="226" w:lineRule="exact"/>
              <w:rPr>
                <w:sz w:val="22"/>
                <w:szCs w:val="22"/>
                <w:lang w:val="uk-UA"/>
              </w:rPr>
            </w:pPr>
            <w:r w:rsidRPr="00896F12">
              <w:rPr>
                <w:sz w:val="22"/>
                <w:szCs w:val="22"/>
                <w:lang w:val="uk-UA"/>
              </w:rPr>
              <w:t xml:space="preserve">адміністративно-виробниче приміщення літ. А-1 площею 397,5 </w:t>
            </w:r>
            <w:proofErr w:type="spellStart"/>
            <w:r w:rsidRPr="00896F1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896F12">
              <w:rPr>
                <w:sz w:val="22"/>
                <w:szCs w:val="22"/>
                <w:lang w:val="uk-UA"/>
              </w:rPr>
              <w:t>. м;</w:t>
            </w:r>
          </w:p>
          <w:p w:rsidR="006C5A6E" w:rsidRPr="00896F12" w:rsidRDefault="006C5A6E" w:rsidP="00783669">
            <w:pPr>
              <w:widowControl w:val="0"/>
              <w:spacing w:line="226" w:lineRule="exact"/>
              <w:rPr>
                <w:sz w:val="22"/>
                <w:szCs w:val="22"/>
                <w:lang w:val="uk-UA"/>
              </w:rPr>
            </w:pPr>
            <w:r w:rsidRPr="00896F12">
              <w:rPr>
                <w:sz w:val="22"/>
                <w:szCs w:val="22"/>
                <w:lang w:val="uk-UA"/>
              </w:rPr>
              <w:t xml:space="preserve">приміщення віварію літ. Б-1 площею 80,1 </w:t>
            </w:r>
            <w:proofErr w:type="spellStart"/>
            <w:r w:rsidRPr="00896F1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896F12">
              <w:rPr>
                <w:sz w:val="22"/>
                <w:szCs w:val="22"/>
                <w:lang w:val="uk-UA"/>
              </w:rPr>
              <w:t>. м;</w:t>
            </w:r>
          </w:p>
          <w:p w:rsidR="006C5A6E" w:rsidRPr="00896F12" w:rsidRDefault="006C5A6E" w:rsidP="00783669">
            <w:pPr>
              <w:widowControl w:val="0"/>
              <w:spacing w:line="226" w:lineRule="exact"/>
              <w:rPr>
                <w:sz w:val="22"/>
                <w:szCs w:val="22"/>
                <w:lang w:val="uk-UA"/>
              </w:rPr>
            </w:pPr>
            <w:r w:rsidRPr="00896F12">
              <w:rPr>
                <w:sz w:val="22"/>
                <w:szCs w:val="22"/>
                <w:lang w:val="uk-UA"/>
              </w:rPr>
              <w:t xml:space="preserve">підсобне приміщення літ. В-1 площею 59,1 </w:t>
            </w:r>
            <w:proofErr w:type="spellStart"/>
            <w:r w:rsidRPr="00896F1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896F12">
              <w:rPr>
                <w:sz w:val="22"/>
                <w:szCs w:val="22"/>
                <w:lang w:val="uk-UA"/>
              </w:rPr>
              <w:t>. м;</w:t>
            </w:r>
          </w:p>
          <w:p w:rsidR="006C5A6E" w:rsidRPr="00E15836" w:rsidRDefault="006C5A6E" w:rsidP="0078366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6F12">
              <w:rPr>
                <w:sz w:val="22"/>
                <w:szCs w:val="22"/>
                <w:lang w:val="uk-UA"/>
              </w:rPr>
              <w:t xml:space="preserve">сарай-гараж літ. Г-1 площею 159,8 </w:t>
            </w:r>
            <w:proofErr w:type="spellStart"/>
            <w:r w:rsidRPr="00896F1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896F12">
              <w:rPr>
                <w:sz w:val="22"/>
                <w:szCs w:val="22"/>
                <w:lang w:val="uk-UA"/>
              </w:rPr>
              <w:t xml:space="preserve">. м; погріб літ. Д-1 площею 18,1 </w:t>
            </w:r>
            <w:proofErr w:type="spellStart"/>
            <w:r w:rsidRPr="00896F1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896F12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BC" w:rsidRPr="00E15836" w:rsidRDefault="005369BC" w:rsidP="006C5A6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E15836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E15836">
              <w:rPr>
                <w:spacing w:val="4"/>
                <w:sz w:val="22"/>
                <w:szCs w:val="17"/>
                <w:lang w:val="uk-UA"/>
              </w:rPr>
              <w:t>Чемеровецький</w:t>
            </w:r>
            <w:proofErr w:type="spellEnd"/>
            <w:r w:rsidRPr="00E15836">
              <w:rPr>
                <w:spacing w:val="4"/>
                <w:sz w:val="22"/>
                <w:szCs w:val="17"/>
                <w:lang w:val="uk-UA"/>
              </w:rPr>
              <w:t xml:space="preserve"> р-н, смт Чемерівці, 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   </w:t>
            </w:r>
            <w:r w:rsidRPr="00E15836">
              <w:rPr>
                <w:spacing w:val="4"/>
                <w:sz w:val="22"/>
                <w:szCs w:val="17"/>
                <w:lang w:val="uk-UA"/>
              </w:rPr>
              <w:t xml:space="preserve">  вул. Центральна, 64г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BC" w:rsidRPr="00446C3E" w:rsidRDefault="006C5A6E" w:rsidP="006C5A6E">
            <w:pPr>
              <w:widowControl w:val="0"/>
              <w:spacing w:line="170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714,6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9BC" w:rsidRPr="00446C3E" w:rsidRDefault="006C5A6E" w:rsidP="006C5A6E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2014205868252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6E" w:rsidRDefault="005369BC" w:rsidP="006C5A6E">
            <w:pPr>
              <w:widowControl w:val="0"/>
              <w:spacing w:line="226" w:lineRule="exact"/>
              <w:jc w:val="center"/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val="uk-UA" w:bidi="uk-UA"/>
              </w:rPr>
            </w:pPr>
            <w:r w:rsidRPr="00693E12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1220.9 Будівлі для конторських та адміністративних цілей інші</w:t>
            </w:r>
          </w:p>
          <w:p w:rsidR="005369BC" w:rsidRDefault="006C5A6E" w:rsidP="006C5A6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6B7787">
              <w:rPr>
                <w:spacing w:val="4"/>
                <w:sz w:val="22"/>
                <w:szCs w:val="17"/>
                <w:lang w:val="uk-UA"/>
              </w:rPr>
              <w:t>1271.1  Будівлі для тваринництва</w:t>
            </w:r>
          </w:p>
          <w:p w:rsidR="006C5A6E" w:rsidRDefault="006C5A6E" w:rsidP="006C5A6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6C5A6E" w:rsidRPr="00E15836" w:rsidRDefault="006C5A6E" w:rsidP="006C5A6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1062E3">
              <w:rPr>
                <w:spacing w:val="4"/>
                <w:sz w:val="22"/>
                <w:szCs w:val="17"/>
                <w:lang w:val="uk-UA"/>
              </w:rPr>
              <w:t>2999.9  Інші інженерні споруди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9BC" w:rsidRPr="00446C3E" w:rsidRDefault="005369BC" w:rsidP="006C5A6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4771D2">
              <w:rPr>
                <w:spacing w:val="4"/>
                <w:sz w:val="22"/>
                <w:szCs w:val="17"/>
                <w:lang w:val="uk-UA"/>
              </w:rPr>
              <w:t xml:space="preserve"> з Державного реєстру речових прав на нерухоме майно про реєстрацію права власності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197462194 від 24.01.2020</w:t>
            </w:r>
          </w:p>
          <w:p w:rsidR="005369BC" w:rsidRPr="00446C3E" w:rsidRDefault="005369BC" w:rsidP="006C5A6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2" w:rsidRPr="00896F12" w:rsidRDefault="00896F12" w:rsidP="00896F12">
            <w:pPr>
              <w:widowControl w:val="0"/>
              <w:spacing w:before="60"/>
              <w:jc w:val="center"/>
              <w:rPr>
                <w:sz w:val="22"/>
                <w:szCs w:val="22"/>
                <w:lang w:val="uk-UA"/>
              </w:rPr>
            </w:pPr>
            <w:r w:rsidRPr="00896F12">
              <w:rPr>
                <w:sz w:val="22"/>
                <w:szCs w:val="22"/>
                <w:lang w:val="uk-UA"/>
              </w:rPr>
              <w:t xml:space="preserve">Державна </w:t>
            </w:r>
          </w:p>
          <w:p w:rsidR="00896F12" w:rsidRPr="00896F12" w:rsidRDefault="00896F12" w:rsidP="00896F12">
            <w:pPr>
              <w:widowControl w:val="0"/>
              <w:spacing w:before="60"/>
              <w:jc w:val="center"/>
              <w:rPr>
                <w:sz w:val="22"/>
                <w:szCs w:val="22"/>
                <w:lang w:val="uk-UA"/>
              </w:rPr>
            </w:pPr>
          </w:p>
          <w:p w:rsidR="005369BC" w:rsidRPr="00896F12" w:rsidRDefault="00896F12" w:rsidP="00896F12">
            <w:pPr>
              <w:widowControl w:val="0"/>
              <w:spacing w:before="60"/>
              <w:jc w:val="center"/>
              <w:rPr>
                <w:spacing w:val="4"/>
                <w:sz w:val="24"/>
                <w:szCs w:val="24"/>
                <w:lang w:val="uk-UA"/>
              </w:rPr>
            </w:pPr>
            <w:proofErr w:type="spellStart"/>
            <w:r w:rsidRPr="00896F12">
              <w:rPr>
                <w:sz w:val="22"/>
                <w:szCs w:val="22"/>
                <w:lang w:val="uk-UA"/>
              </w:rPr>
              <w:t>Чемеровецька</w:t>
            </w:r>
            <w:proofErr w:type="spellEnd"/>
            <w:r w:rsidRPr="00896F12">
              <w:rPr>
                <w:sz w:val="22"/>
                <w:szCs w:val="22"/>
                <w:lang w:val="uk-UA"/>
              </w:rPr>
              <w:t xml:space="preserve"> районна державна лікарня ветеринарної медицини, код за ЄДРПОУ 00712019</w:t>
            </w:r>
          </w:p>
        </w:tc>
      </w:tr>
    </w:tbl>
    <w:p w:rsidR="001062E3" w:rsidRDefault="001062E3" w:rsidP="006C5A6E">
      <w:pPr>
        <w:jc w:val="both"/>
        <w:rPr>
          <w:sz w:val="24"/>
          <w:szCs w:val="24"/>
          <w:lang w:val="uk-UA"/>
        </w:rPr>
      </w:pPr>
    </w:p>
    <w:p w:rsidR="006C5A6E" w:rsidRDefault="006C5A6E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6C5A6E" w:rsidRDefault="006C5A6E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6C5A6E" w:rsidRDefault="006C5A6E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6C5A6E" w:rsidRDefault="006C5A6E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2171"/>
        <w:gridCol w:w="850"/>
        <w:gridCol w:w="2105"/>
        <w:gridCol w:w="1712"/>
        <w:gridCol w:w="2161"/>
      </w:tblGrid>
      <w:tr w:rsidR="00240B22" w:rsidRPr="005578B5" w:rsidTr="006C5A6E">
        <w:trPr>
          <w:cantSplit/>
          <w:trHeight w:val="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1062E3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lastRenderedPageBreak/>
              <w:t>Назва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1062E3" w:rsidRDefault="000E6DEB" w:rsidP="00240B22">
            <w:pPr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розташування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1062E3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Площа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емельної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ділянки(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Кадастровий номер </w:t>
            </w:r>
            <w:proofErr w:type="spellStart"/>
            <w:r w:rsidRPr="001062E3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земе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3B6D9E" w:rsidRPr="005578B5" w:rsidTr="006C5A6E">
        <w:trPr>
          <w:cantSplit/>
          <w:trHeight w:val="389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B6D9E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1062E3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1062E3">
              <w:rPr>
                <w:spacing w:val="4"/>
                <w:sz w:val="22"/>
                <w:szCs w:val="17"/>
                <w:lang w:val="uk-UA"/>
              </w:rPr>
              <w:t>Чемеровецький</w:t>
            </w:r>
            <w:proofErr w:type="spellEnd"/>
            <w:r w:rsidRPr="001062E3">
              <w:rPr>
                <w:spacing w:val="4"/>
                <w:sz w:val="22"/>
                <w:szCs w:val="17"/>
                <w:lang w:val="uk-UA"/>
              </w:rPr>
              <w:t xml:space="preserve"> р-н, смт Чемерівці,       вул. Центральна, 64г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E" w:rsidRDefault="006C5A6E" w:rsidP="006C5A6E">
            <w:pPr>
              <w:spacing w:line="170" w:lineRule="exact"/>
              <w:jc w:val="center"/>
              <w:rPr>
                <w:sz w:val="22"/>
                <w:szCs w:val="22"/>
                <w:lang w:val="uk-UA" w:eastAsia="ru-RU"/>
              </w:rPr>
            </w:pPr>
          </w:p>
          <w:p w:rsidR="000E6DEB" w:rsidRPr="000E6DEB" w:rsidRDefault="003B6D9E" w:rsidP="006C5A6E">
            <w:pPr>
              <w:spacing w:line="170" w:lineRule="exact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9800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9E" w:rsidRDefault="003B6D9E" w:rsidP="003B6D9E">
            <w:pPr>
              <w:spacing w:after="60" w:line="170" w:lineRule="exact"/>
              <w:jc w:val="center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3B6D9E" w:rsidP="003B6D9E">
            <w:pPr>
              <w:spacing w:after="60" w:line="170" w:lineRule="exact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6825255100:00:013:0176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8A51A3" w:rsidRDefault="003B6D9E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Default="003B6D9E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Державна, </w:t>
            </w:r>
          </w:p>
          <w:p w:rsidR="006C5A6E" w:rsidRDefault="003B6D9E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2"/>
                <w:szCs w:val="22"/>
                <w:lang w:val="uk-UA" w:eastAsia="ru-RU"/>
              </w:rPr>
              <w:t>Іпотек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>, Єдиного реєстру заборон відчуження об’єктів нерухомого майна щодо об’єкта нерухомого майна</w:t>
            </w:r>
            <w:r w:rsidR="005369BC">
              <w:rPr>
                <w:sz w:val="22"/>
                <w:szCs w:val="22"/>
                <w:lang w:val="uk-UA" w:eastAsia="ru-RU"/>
              </w:rPr>
              <w:t xml:space="preserve"> від 04.11.2019 </w:t>
            </w:r>
          </w:p>
          <w:p w:rsidR="003B6D9E" w:rsidRPr="00240B22" w:rsidRDefault="005369BC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№</w:t>
            </w:r>
            <w:r w:rsidR="006C5A6E">
              <w:rPr>
                <w:sz w:val="22"/>
                <w:szCs w:val="22"/>
                <w:lang w:val="uk-UA" w:eastAsia="ru-RU"/>
              </w:rPr>
              <w:t xml:space="preserve"> 187423491</w:t>
            </w:r>
          </w:p>
        </w:tc>
      </w:tr>
    </w:tbl>
    <w:p w:rsidR="006C5A6E" w:rsidRDefault="006C5A6E" w:rsidP="003B6D9E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3B6D9E">
        <w:rPr>
          <w:iCs/>
          <w:sz w:val="24"/>
          <w:szCs w:val="24"/>
          <w:lang w:val="uk-UA"/>
        </w:rPr>
        <w:t>ами</w:t>
      </w:r>
    </w:p>
    <w:p w:rsidR="00B4218F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614F44" w:rsidRPr="00614F44">
        <w:rPr>
          <w:b/>
          <w:sz w:val="24"/>
          <w:szCs w:val="24"/>
          <w:lang w:val="uk-UA"/>
        </w:rPr>
        <w:t>2</w:t>
      </w:r>
      <w:r w:rsidR="00772D6B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</w:t>
      </w:r>
      <w:r w:rsidR="00772D6B">
        <w:rPr>
          <w:b/>
          <w:sz w:val="24"/>
          <w:szCs w:val="24"/>
          <w:lang w:val="uk-UA"/>
        </w:rPr>
        <w:t>травня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r w:rsidR="0060499F">
        <w:rPr>
          <w:b/>
          <w:color w:val="000000"/>
          <w:sz w:val="24"/>
          <w:szCs w:val="24"/>
          <w:lang w:val="uk-UA"/>
        </w:rPr>
        <w:t>з умовами</w:t>
      </w:r>
      <w:r w:rsidRPr="00FE2FC9">
        <w:rPr>
          <w:b/>
          <w:color w:val="000000"/>
          <w:sz w:val="24"/>
          <w:szCs w:val="24"/>
        </w:rPr>
        <w:t xml:space="preserve">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85421F">
        <w:rPr>
          <w:color w:val="000000"/>
          <w:lang w:val="uk-UA"/>
        </w:rPr>
        <w:t>а</w:t>
      </w:r>
      <w:r w:rsidR="00772D6B">
        <w:rPr>
          <w:color w:val="000000"/>
          <w:lang w:val="uk-UA"/>
        </w:rPr>
        <w:t>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772D6B">
        <w:rPr>
          <w:color w:val="000000"/>
          <w:lang w:val="uk-UA"/>
        </w:rPr>
        <w:t>390 886</w:t>
      </w:r>
      <w:r w:rsidR="004440E6" w:rsidRPr="00D72514">
        <w:rPr>
          <w:color w:val="000000"/>
        </w:rPr>
        <w:t>,</w:t>
      </w:r>
      <w:r w:rsidR="004440E6">
        <w:rPr>
          <w:color w:val="000000"/>
        </w:rPr>
        <w:t>0</w:t>
      </w:r>
      <w:r w:rsidR="004440E6" w:rsidRPr="00D72514">
        <w:rPr>
          <w:color w:val="000000"/>
        </w:rPr>
        <w:t xml:space="preserve">0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772D6B" w:rsidRPr="00772D6B">
        <w:rPr>
          <w:color w:val="000000"/>
          <w:sz w:val="24"/>
          <w:szCs w:val="24"/>
        </w:rPr>
        <w:t>195 443,00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772D6B" w:rsidRPr="00772D6B">
        <w:rPr>
          <w:color w:val="000000"/>
          <w:sz w:val="24"/>
          <w:szCs w:val="24"/>
        </w:rPr>
        <w:t xml:space="preserve">195 443,00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="00A0475F">
        <w:rPr>
          <w:sz w:val="24"/>
          <w:szCs w:val="24"/>
        </w:rPr>
        <w:t xml:space="preserve"> продажу</w:t>
      </w:r>
      <w:r w:rsidRPr="006E711E">
        <w:rPr>
          <w:sz w:val="24"/>
          <w:szCs w:val="24"/>
        </w:rPr>
        <w:t xml:space="preserve">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72D6B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772D6B">
        <w:rPr>
          <w:color w:val="000000"/>
          <w:sz w:val="24"/>
          <w:szCs w:val="24"/>
        </w:rPr>
        <w:t>39 088,60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772D6B">
        <w:rPr>
          <w:color w:val="000000"/>
          <w:sz w:val="24"/>
          <w:szCs w:val="24"/>
        </w:rPr>
        <w:t>19 544,30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772D6B">
        <w:rPr>
          <w:color w:val="000000"/>
          <w:sz w:val="24"/>
          <w:szCs w:val="24"/>
        </w:rPr>
        <w:t>19 544,30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345E3A" w:rsidRPr="00345E3A" w:rsidRDefault="004440E6" w:rsidP="00345E3A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345E3A" w:rsidRPr="00345E3A" w:rsidRDefault="00345E3A" w:rsidP="00345E3A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5A5CFF">
        <w:rPr>
          <w:sz w:val="28"/>
          <w:szCs w:val="28"/>
          <w:lang w:val="uk-UA"/>
        </w:rPr>
        <w:lastRenderedPageBreak/>
        <w:tab/>
      </w:r>
      <w:r w:rsidRPr="00345E3A">
        <w:rPr>
          <w:sz w:val="24"/>
          <w:szCs w:val="24"/>
          <w:lang w:val="uk-UA"/>
        </w:rPr>
        <w:t xml:space="preserve">Покупець зобов’язаний протягом 30 календарних днів з дня укладання договору купівлі-продажу об’єкта приватизації компенсувати витрати, понесені </w:t>
      </w:r>
      <w:r>
        <w:rPr>
          <w:sz w:val="24"/>
          <w:szCs w:val="24"/>
          <w:lang w:val="uk-UA"/>
        </w:rPr>
        <w:t>Регіональним відділенням Фонду державного майна України по Вінницькій та Хмельницькій областях</w:t>
      </w:r>
      <w:r w:rsidRPr="00345E3A">
        <w:rPr>
          <w:sz w:val="24"/>
          <w:szCs w:val="24"/>
          <w:lang w:val="uk-UA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</w:t>
      </w:r>
      <w:r>
        <w:rPr>
          <w:sz w:val="24"/>
          <w:szCs w:val="24"/>
          <w:lang w:val="uk-UA"/>
        </w:rPr>
        <w:t>Регіонального відділення Фонду державного майна України по Вінницькій та Хмельницькій областях</w:t>
      </w:r>
      <w:r w:rsidRPr="00345E3A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 xml:space="preserve">рахунок </w:t>
      </w:r>
      <w:r w:rsidRPr="00345E3A">
        <w:rPr>
          <w:sz w:val="24"/>
          <w:szCs w:val="24"/>
          <w:lang w:val="uk-UA"/>
        </w:rPr>
        <w:t xml:space="preserve">буде зазначено в договорі купівлі-продажу) в сумі </w:t>
      </w:r>
      <w:r>
        <w:rPr>
          <w:sz w:val="24"/>
          <w:szCs w:val="24"/>
          <w:lang w:val="uk-UA"/>
        </w:rPr>
        <w:t xml:space="preserve"> 9 000,00 </w:t>
      </w:r>
      <w:r w:rsidRPr="00345E3A">
        <w:rPr>
          <w:sz w:val="24"/>
          <w:szCs w:val="24"/>
          <w:lang w:val="uk-UA"/>
        </w:rPr>
        <w:t>грн., без ПДВ.</w:t>
      </w:r>
    </w:p>
    <w:p w:rsidR="00766F0D" w:rsidRDefault="00766F0D" w:rsidP="00772D6B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4440E6" w:rsidRPr="00FA4C35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  <w:highlight w:val="white"/>
          <w:u w:val="single"/>
        </w:rPr>
      </w:pPr>
      <w:r w:rsidRPr="00FA4C35">
        <w:rPr>
          <w:b/>
          <w:color w:val="000000"/>
          <w:sz w:val="24"/>
          <w:szCs w:val="24"/>
          <w:highlight w:val="white"/>
          <w:u w:val="single"/>
        </w:rPr>
        <w:t>в іноземній валюті: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Одержувач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Адреса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Рахунок</w:t>
      </w:r>
      <w:r w:rsidR="00EB687D">
        <w:rPr>
          <w:color w:val="000000"/>
          <w:sz w:val="24"/>
          <w:szCs w:val="24"/>
          <w:highlight w:val="white"/>
        </w:rPr>
        <w:t xml:space="preserve">: № </w:t>
      </w:r>
      <w:r w:rsidR="00EB687D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</w:rPr>
        <w:t>Банк одержувача</w:t>
      </w:r>
      <w:r w:rsidR="00674D20"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EB687D" w:rsidRPr="00EB687D" w:rsidRDefault="00EB687D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  <w:lang w:val="en-US"/>
        </w:rPr>
        <w:t>SWIFT</w:t>
      </w:r>
      <w:r w:rsidRPr="00EB687D">
        <w:rPr>
          <w:b/>
          <w:sz w:val="24"/>
          <w:szCs w:val="24"/>
          <w:highlight w:val="white"/>
        </w:rPr>
        <w:t xml:space="preserve">: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b/>
          <w:sz w:val="24"/>
          <w:szCs w:val="24"/>
          <w:highlight w:val="white"/>
        </w:rPr>
        <w:t>Код ЄДРПОУ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Account</w:t>
      </w:r>
      <w:r>
        <w:rPr>
          <w:sz w:val="24"/>
          <w:szCs w:val="24"/>
          <w:highlight w:val="white"/>
        </w:rPr>
        <w:t>:</w:t>
      </w:r>
      <w:r w:rsidR="004440E6">
        <w:rPr>
          <w:sz w:val="24"/>
          <w:szCs w:val="24"/>
          <w:highlight w:val="white"/>
          <w:lang w:val="en-US"/>
        </w:rPr>
        <w:t xml:space="preserve"> </w:t>
      </w:r>
    </w:p>
    <w:p w:rsidR="00674D20" w:rsidRP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UA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Bank of 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SWIFT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</w:t>
      </w:r>
      <w:r w:rsidR="00674D20">
        <w:rPr>
          <w:sz w:val="24"/>
          <w:szCs w:val="24"/>
          <w:highlight w:val="white"/>
          <w:lang w:val="en-US"/>
        </w:rPr>
        <w:t xml:space="preserve"> without fa</w:t>
      </w:r>
      <w:r w:rsidR="00674D20">
        <w:rPr>
          <w:sz w:val="24"/>
          <w:szCs w:val="24"/>
          <w:highlight w:val="white"/>
        </w:rPr>
        <w:t>і</w:t>
      </w:r>
      <w:r w:rsidR="00674D20">
        <w:rPr>
          <w:sz w:val="24"/>
          <w:szCs w:val="24"/>
          <w:highlight w:val="white"/>
          <w:lang w:val="en-US"/>
        </w:rPr>
        <w:t>l the purpose of p</w:t>
      </w:r>
      <w:r>
        <w:rPr>
          <w:sz w:val="24"/>
          <w:szCs w:val="24"/>
          <w:highlight w:val="white"/>
          <w:lang w:val="en-US"/>
        </w:rPr>
        <w:t>ayment)</w:t>
      </w:r>
      <w:r>
        <w:rPr>
          <w:sz w:val="24"/>
          <w:szCs w:val="24"/>
          <w:highlight w:val="white"/>
        </w:rPr>
        <w:t xml:space="preserve"> 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B354AC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F73A3C" w:rsidRPr="003659E9" w:rsidRDefault="00F73A3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3659E9">
        <w:rPr>
          <w:sz w:val="24"/>
        </w:rPr>
        <w:t>У робочі дні</w:t>
      </w:r>
      <w:r w:rsidRPr="003659E9">
        <w:rPr>
          <w:b/>
          <w:sz w:val="24"/>
        </w:rPr>
        <w:t xml:space="preserve"> </w:t>
      </w:r>
      <w:r w:rsidR="00674D20" w:rsidRPr="003659E9">
        <w:rPr>
          <w:sz w:val="24"/>
        </w:rPr>
        <w:t>з 8-00 до 17-</w:t>
      </w:r>
      <w:r w:rsidR="003659E9" w:rsidRPr="003659E9">
        <w:rPr>
          <w:sz w:val="24"/>
        </w:rPr>
        <w:t>00</w:t>
      </w:r>
      <w:r w:rsidR="004771D2">
        <w:rPr>
          <w:sz w:val="24"/>
        </w:rPr>
        <w:t xml:space="preserve"> за місцем розташування об’єкта.</w:t>
      </w:r>
    </w:p>
    <w:p w:rsidR="00C54210" w:rsidRPr="003659E9" w:rsidRDefault="003659E9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3659E9">
        <w:rPr>
          <w:sz w:val="24"/>
        </w:rPr>
        <w:t xml:space="preserve">Відповідальна особа </w:t>
      </w:r>
      <w:r w:rsidR="00C54210" w:rsidRPr="003659E9">
        <w:rPr>
          <w:sz w:val="24"/>
        </w:rPr>
        <w:t xml:space="preserve">від </w:t>
      </w:r>
      <w:proofErr w:type="spellStart"/>
      <w:r w:rsidR="00E958A2" w:rsidRPr="003659E9">
        <w:rPr>
          <w:sz w:val="24"/>
        </w:rPr>
        <w:t>Чемеровецької</w:t>
      </w:r>
      <w:proofErr w:type="spellEnd"/>
      <w:r w:rsidR="00E958A2" w:rsidRPr="003659E9">
        <w:rPr>
          <w:sz w:val="24"/>
        </w:rPr>
        <w:t xml:space="preserve"> районної державної лікарні ветеринарної медицини</w:t>
      </w:r>
      <w:r w:rsidR="00C54210" w:rsidRPr="003659E9">
        <w:rPr>
          <w:sz w:val="24"/>
        </w:rPr>
        <w:t xml:space="preserve">: </w:t>
      </w:r>
      <w:r w:rsidR="00E958A2" w:rsidRPr="003659E9">
        <w:rPr>
          <w:sz w:val="24"/>
        </w:rPr>
        <w:t>Приймак Ліана Миколаївна</w:t>
      </w:r>
      <w:r w:rsidR="00C54210" w:rsidRPr="003659E9">
        <w:rPr>
          <w:sz w:val="24"/>
        </w:rPr>
        <w:t xml:space="preserve">, </w:t>
      </w:r>
      <w:proofErr w:type="spellStart"/>
      <w:r w:rsidR="00C54210" w:rsidRPr="003659E9">
        <w:rPr>
          <w:sz w:val="24"/>
        </w:rPr>
        <w:t>тел</w:t>
      </w:r>
      <w:proofErr w:type="spellEnd"/>
      <w:r w:rsidR="00C54210" w:rsidRPr="003659E9">
        <w:rPr>
          <w:sz w:val="24"/>
        </w:rPr>
        <w:t xml:space="preserve">. </w:t>
      </w:r>
      <w:r w:rsidR="00E958A2" w:rsidRPr="003659E9">
        <w:rPr>
          <w:sz w:val="24"/>
        </w:rPr>
        <w:t>0972396125</w:t>
      </w:r>
    </w:p>
    <w:p w:rsidR="00F76D28" w:rsidRPr="003659E9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3659E9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3659E9">
        <w:rPr>
          <w:sz w:val="24"/>
        </w:rPr>
        <w:t>mail</w:t>
      </w:r>
      <w:proofErr w:type="spellEnd"/>
      <w:r w:rsidRPr="003659E9">
        <w:rPr>
          <w:sz w:val="24"/>
        </w:rPr>
        <w:t xml:space="preserve"> vinnytsia@spfu.gov.ua, </w:t>
      </w:r>
      <w:proofErr w:type="spellStart"/>
      <w:r w:rsidRPr="003659E9">
        <w:rPr>
          <w:sz w:val="24"/>
        </w:rPr>
        <w:t>тел</w:t>
      </w:r>
      <w:proofErr w:type="spellEnd"/>
      <w:r w:rsidRPr="003659E9">
        <w:rPr>
          <w:sz w:val="24"/>
        </w:rPr>
        <w:t xml:space="preserve">. (0432) 65-26-08. </w:t>
      </w:r>
    </w:p>
    <w:p w:rsidR="003100EB" w:rsidRPr="003659E9" w:rsidRDefault="003659E9" w:rsidP="003659E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3659E9">
        <w:rPr>
          <w:sz w:val="24"/>
        </w:rPr>
        <w:t xml:space="preserve">Відповідальна особа </w:t>
      </w:r>
      <w:r w:rsidR="00F73A3C" w:rsidRPr="003659E9">
        <w:rPr>
          <w:sz w:val="24"/>
        </w:rPr>
        <w:t xml:space="preserve">від регіонального відділення: </w:t>
      </w:r>
      <w:proofErr w:type="spellStart"/>
      <w:r w:rsidR="00F73A3C" w:rsidRPr="003659E9">
        <w:rPr>
          <w:sz w:val="24"/>
        </w:rPr>
        <w:t>Капранова</w:t>
      </w:r>
      <w:proofErr w:type="spellEnd"/>
      <w:r w:rsidR="00F73A3C" w:rsidRPr="003659E9">
        <w:rPr>
          <w:sz w:val="24"/>
        </w:rPr>
        <w:t xml:space="preserve"> Наталія Василівна,  </w:t>
      </w:r>
      <w:r>
        <w:rPr>
          <w:sz w:val="24"/>
        </w:rPr>
        <w:t>т</w:t>
      </w:r>
      <w:r w:rsidR="00F73A3C" w:rsidRPr="003659E9">
        <w:rPr>
          <w:sz w:val="24"/>
        </w:rPr>
        <w:t xml:space="preserve">елефон:  (0382) 72-09-40, </w:t>
      </w:r>
      <w:r>
        <w:rPr>
          <w:sz w:val="24"/>
          <w:lang w:val="en-US"/>
        </w:rPr>
        <w:t>e</w:t>
      </w:r>
      <w:r w:rsidR="00F73A3C" w:rsidRPr="003659E9">
        <w:rPr>
          <w:sz w:val="24"/>
          <w:lang w:val="ru-RU"/>
        </w:rPr>
        <w:t>-</w:t>
      </w:r>
      <w:r w:rsidR="00F73A3C" w:rsidRPr="003659E9">
        <w:rPr>
          <w:sz w:val="24"/>
          <w:lang w:val="en-US"/>
        </w:rPr>
        <w:t>mail</w:t>
      </w:r>
      <w:r w:rsidR="00F73A3C" w:rsidRPr="003659E9">
        <w:rPr>
          <w:sz w:val="24"/>
          <w:lang w:val="ru-RU"/>
        </w:rPr>
        <w:t xml:space="preserve">: </w:t>
      </w:r>
      <w:r w:rsidR="00F73A3C" w:rsidRPr="003659E9">
        <w:rPr>
          <w:sz w:val="24"/>
        </w:rPr>
        <w:t>n</w:t>
      </w:r>
      <w:r w:rsidR="00F73A3C" w:rsidRPr="003659E9">
        <w:rPr>
          <w:sz w:val="24"/>
          <w:lang w:val="ru-RU"/>
        </w:rPr>
        <w:t>.</w:t>
      </w:r>
      <w:proofErr w:type="spellStart"/>
      <w:r w:rsidR="00F73A3C" w:rsidRPr="003659E9">
        <w:rPr>
          <w:sz w:val="24"/>
          <w:lang w:val="en-US"/>
        </w:rPr>
        <w:t>kapranova</w:t>
      </w:r>
      <w:proofErr w:type="spellEnd"/>
      <w:r w:rsidR="00F73A3C" w:rsidRPr="003659E9">
        <w:rPr>
          <w:sz w:val="24"/>
        </w:rPr>
        <w:t xml:space="preserve">@spfu.gov.ua. </w:t>
      </w:r>
    </w:p>
    <w:p w:rsidR="00F73A3C" w:rsidRPr="00F73A3C" w:rsidRDefault="00F73A3C" w:rsidP="00F73A3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4"/>
          <w:lang w:val="ru-RU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lastRenderedPageBreak/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8E00F2">
        <w:rPr>
          <w:sz w:val="24"/>
          <w:szCs w:val="24"/>
          <w:lang w:val="uk-UA"/>
        </w:rPr>
        <w:t>20.04</w:t>
      </w:r>
      <w:r w:rsidR="00AB2D7F">
        <w:rPr>
          <w:sz w:val="24"/>
          <w:szCs w:val="24"/>
          <w:lang w:val="uk-UA"/>
        </w:rPr>
        <w:t>.20</w:t>
      </w:r>
      <w:r w:rsidR="00D96A1C">
        <w:rPr>
          <w:sz w:val="24"/>
          <w:szCs w:val="24"/>
          <w:lang w:val="uk-UA"/>
        </w:rPr>
        <w:t>21</w:t>
      </w:r>
      <w:r w:rsidR="00AB2D7F">
        <w:rPr>
          <w:sz w:val="24"/>
          <w:szCs w:val="24"/>
          <w:lang w:val="uk-UA"/>
        </w:rPr>
        <w:t xml:space="preserve"> №</w:t>
      </w:r>
      <w:r w:rsidR="00D96A1C">
        <w:rPr>
          <w:sz w:val="24"/>
          <w:szCs w:val="24"/>
          <w:lang w:val="uk-UA"/>
        </w:rPr>
        <w:t xml:space="preserve"> </w:t>
      </w:r>
      <w:r w:rsidR="008E00F2">
        <w:rPr>
          <w:sz w:val="24"/>
          <w:szCs w:val="24"/>
          <w:lang w:val="uk-UA"/>
        </w:rPr>
        <w:t>252-у</w:t>
      </w:r>
      <w:r w:rsidR="00AB2D7F">
        <w:rPr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003F0" w:rsidRPr="006003F0">
        <w:rPr>
          <w:b/>
          <w:sz w:val="24"/>
          <w:u w:val="single"/>
        </w:rPr>
        <w:t>UA</w:t>
      </w:r>
      <w:r w:rsidR="006003F0" w:rsidRPr="006003F0">
        <w:rPr>
          <w:b/>
          <w:sz w:val="24"/>
          <w:u w:val="single"/>
          <w:lang w:val="uk-UA"/>
        </w:rPr>
        <w:t>-</w:t>
      </w:r>
      <w:r w:rsidR="006003F0" w:rsidRPr="006003F0">
        <w:rPr>
          <w:b/>
          <w:sz w:val="24"/>
          <w:u w:val="single"/>
        </w:rPr>
        <w:t>AR</w:t>
      </w:r>
      <w:r w:rsidR="006003F0" w:rsidRPr="006003F0">
        <w:rPr>
          <w:b/>
          <w:sz w:val="24"/>
          <w:u w:val="single"/>
          <w:lang w:val="uk-UA"/>
        </w:rPr>
        <w:t>-</w:t>
      </w:r>
      <w:r w:rsidR="006003F0" w:rsidRPr="006003F0">
        <w:rPr>
          <w:b/>
          <w:sz w:val="24"/>
          <w:u w:val="single"/>
        </w:rPr>
        <w:t>P</w:t>
      </w:r>
      <w:r w:rsidR="006003F0" w:rsidRPr="006003F0">
        <w:rPr>
          <w:b/>
          <w:sz w:val="24"/>
          <w:u w:val="single"/>
          <w:lang w:val="uk-UA"/>
        </w:rPr>
        <w:t>-2020-05-28-000003-3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003F0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6003F0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6003F0">
        <w:rPr>
          <w:b/>
          <w:color w:val="000000"/>
          <w:sz w:val="24"/>
          <w:szCs w:val="24"/>
        </w:rPr>
        <w:t>3 908</w:t>
      </w:r>
      <w:r w:rsidRPr="00AB2D7F">
        <w:rPr>
          <w:b/>
          <w:color w:val="000000"/>
          <w:sz w:val="24"/>
          <w:szCs w:val="24"/>
        </w:rPr>
        <w:t>,</w:t>
      </w:r>
      <w:r w:rsidR="006003F0">
        <w:rPr>
          <w:b/>
          <w:color w:val="000000"/>
          <w:sz w:val="24"/>
          <w:szCs w:val="24"/>
        </w:rPr>
        <w:t>86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6003F0">
        <w:rPr>
          <w:b/>
          <w:color w:val="000000"/>
          <w:sz w:val="24"/>
          <w:szCs w:val="24"/>
        </w:rPr>
        <w:t>1 954</w:t>
      </w:r>
      <w:r w:rsidRPr="00AB2D7F">
        <w:rPr>
          <w:b/>
          <w:color w:val="000000"/>
          <w:sz w:val="24"/>
          <w:szCs w:val="24"/>
        </w:rPr>
        <w:t>,</w:t>
      </w:r>
      <w:r w:rsidR="006003F0">
        <w:rPr>
          <w:b/>
          <w:color w:val="000000"/>
          <w:sz w:val="24"/>
          <w:szCs w:val="24"/>
        </w:rPr>
        <w:t>43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6003F0">
        <w:rPr>
          <w:b/>
          <w:color w:val="000000"/>
          <w:sz w:val="24"/>
          <w:szCs w:val="24"/>
        </w:rPr>
        <w:t>1 954</w:t>
      </w:r>
      <w:r w:rsidRPr="00AB2D7F">
        <w:rPr>
          <w:b/>
          <w:color w:val="000000"/>
          <w:sz w:val="24"/>
          <w:szCs w:val="24"/>
        </w:rPr>
        <w:t>,</w:t>
      </w:r>
      <w:r w:rsidR="006003F0">
        <w:rPr>
          <w:b/>
          <w:color w:val="000000"/>
          <w:sz w:val="24"/>
          <w:szCs w:val="24"/>
        </w:rPr>
        <w:t>43</w:t>
      </w:r>
      <w:r w:rsidRPr="00AB2D7F">
        <w:rPr>
          <w:b/>
          <w:color w:val="000000"/>
          <w:sz w:val="24"/>
          <w:szCs w:val="24"/>
        </w:rPr>
        <w:t xml:space="preserve">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93951"/>
    <w:rsid w:val="00096BBF"/>
    <w:rsid w:val="000E16EE"/>
    <w:rsid w:val="000E6DEB"/>
    <w:rsid w:val="001062E3"/>
    <w:rsid w:val="00157BEB"/>
    <w:rsid w:val="001811CE"/>
    <w:rsid w:val="001D139C"/>
    <w:rsid w:val="002016B5"/>
    <w:rsid w:val="00240B22"/>
    <w:rsid w:val="00241AC1"/>
    <w:rsid w:val="003100EB"/>
    <w:rsid w:val="00345E3A"/>
    <w:rsid w:val="003659E9"/>
    <w:rsid w:val="003927EF"/>
    <w:rsid w:val="003B6D9E"/>
    <w:rsid w:val="004440E6"/>
    <w:rsid w:val="00446C3E"/>
    <w:rsid w:val="00474964"/>
    <w:rsid w:val="004771D2"/>
    <w:rsid w:val="00492C22"/>
    <w:rsid w:val="005166B7"/>
    <w:rsid w:val="005369BC"/>
    <w:rsid w:val="005E55D3"/>
    <w:rsid w:val="005F1605"/>
    <w:rsid w:val="006003F0"/>
    <w:rsid w:val="0060499F"/>
    <w:rsid w:val="00614F44"/>
    <w:rsid w:val="00663477"/>
    <w:rsid w:val="00674D20"/>
    <w:rsid w:val="00693E12"/>
    <w:rsid w:val="006B7787"/>
    <w:rsid w:val="006C5A6E"/>
    <w:rsid w:val="006D2FB8"/>
    <w:rsid w:val="007630F2"/>
    <w:rsid w:val="00766F0D"/>
    <w:rsid w:val="00772D6B"/>
    <w:rsid w:val="00783669"/>
    <w:rsid w:val="007C05EB"/>
    <w:rsid w:val="007F3018"/>
    <w:rsid w:val="0085421F"/>
    <w:rsid w:val="00896F12"/>
    <w:rsid w:val="008A51A3"/>
    <w:rsid w:val="008E00F2"/>
    <w:rsid w:val="008F24BD"/>
    <w:rsid w:val="009045D6"/>
    <w:rsid w:val="009445D9"/>
    <w:rsid w:val="009B59CF"/>
    <w:rsid w:val="00A0475F"/>
    <w:rsid w:val="00A47E00"/>
    <w:rsid w:val="00A92C9A"/>
    <w:rsid w:val="00AB2D7F"/>
    <w:rsid w:val="00B354AC"/>
    <w:rsid w:val="00B4218F"/>
    <w:rsid w:val="00B47989"/>
    <w:rsid w:val="00B51F2D"/>
    <w:rsid w:val="00C5410E"/>
    <w:rsid w:val="00C54210"/>
    <w:rsid w:val="00C96575"/>
    <w:rsid w:val="00CA5219"/>
    <w:rsid w:val="00D81CD2"/>
    <w:rsid w:val="00D84F9C"/>
    <w:rsid w:val="00D96A1C"/>
    <w:rsid w:val="00E13792"/>
    <w:rsid w:val="00E15836"/>
    <w:rsid w:val="00E958A2"/>
    <w:rsid w:val="00EB687D"/>
    <w:rsid w:val="00EC0E03"/>
    <w:rsid w:val="00F04769"/>
    <w:rsid w:val="00F075C8"/>
    <w:rsid w:val="00F0786E"/>
    <w:rsid w:val="00F73A3C"/>
    <w:rsid w:val="00F76D28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19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19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CF1F-0AD0-46D8-98FD-5868F7BD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6107</Words>
  <Characters>3481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21</cp:revision>
  <cp:lastPrinted>2021-04-20T12:53:00Z</cp:lastPrinted>
  <dcterms:created xsi:type="dcterms:W3CDTF">2021-04-19T11:43:00Z</dcterms:created>
  <dcterms:modified xsi:type="dcterms:W3CDTF">2021-04-26T07:46:00Z</dcterms:modified>
</cp:coreProperties>
</file>