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876E2B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11045" w:rsidRPr="00F11045">
        <w:rPr>
          <w:rFonts w:ascii="Times New Roman" w:hAnsi="Times New Roman" w:cs="Times New Roman"/>
          <w:sz w:val="28"/>
          <w:szCs w:val="28"/>
          <w:lang w:val="uk-UA"/>
        </w:rPr>
        <w:t>189,010</w:t>
      </w:r>
      <w:r w:rsidR="00E2268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F11045">
        <w:rPr>
          <w:sz w:val="28"/>
          <w:lang w:val="uk-UA"/>
        </w:rPr>
        <w:t>сто вісімдесят дев’ять</w:t>
      </w:r>
      <w:r w:rsidR="004F70E8">
        <w:rPr>
          <w:sz w:val="28"/>
          <w:lang w:val="uk-UA"/>
        </w:rPr>
        <w:t xml:space="preserve"> </w:t>
      </w:r>
      <w:proofErr w:type="spellStart"/>
      <w:r w:rsidR="004F70E8">
        <w:rPr>
          <w:sz w:val="28"/>
          <w:lang w:val="uk-UA"/>
        </w:rPr>
        <w:t>тонн</w:t>
      </w:r>
      <w:proofErr w:type="spellEnd"/>
      <w:r w:rsidR="00F11045">
        <w:rPr>
          <w:sz w:val="28"/>
          <w:lang w:val="uk-UA"/>
        </w:rPr>
        <w:t xml:space="preserve"> десять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18F46587" w14:textId="77777777" w:rsidR="00A308ED" w:rsidRDefault="00A308ED" w:rsidP="00A308E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Філія «Рефрижераторна вагонна компанія» </w:t>
                  </w:r>
                  <w:r w:rsidRPr="00506A8D">
                    <w:rPr>
                      <w:rFonts w:ascii="Times New Roman" w:hAnsi="Times New Roman" w:cs="Times New Roman"/>
                      <w:sz w:val="28"/>
                      <w:szCs w:val="28"/>
                      <w:lang w:val="uk-UA"/>
                    </w:rPr>
                    <w:t>АТ «Українська залізниця»</w:t>
                  </w:r>
                </w:p>
                <w:p w14:paraId="72E7A0CA" w14:textId="77777777" w:rsidR="00A308ED" w:rsidRDefault="00A308ED" w:rsidP="00A308ED">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4615E1">
                    <w:rPr>
                      <w:rFonts w:ascii="Times New Roman" w:hAnsi="Times New Roman" w:cs="Times New Roman"/>
                      <w:sz w:val="28"/>
                      <w:szCs w:val="28"/>
                      <w:lang w:val="uk-UA"/>
                    </w:rPr>
                    <w:t>40081</w:t>
                  </w:r>
                  <w:r>
                    <w:rPr>
                      <w:rFonts w:ascii="Times New Roman" w:hAnsi="Times New Roman" w:cs="Times New Roman"/>
                      <w:sz w:val="28"/>
                      <w:szCs w:val="28"/>
                      <w:lang w:val="uk-UA"/>
                    </w:rPr>
                    <w:t>326</w:t>
                  </w:r>
                </w:p>
                <w:p w14:paraId="59F327D4" w14:textId="3B1060CA" w:rsidR="000E4389" w:rsidRDefault="00A308ED" w:rsidP="00A308ED">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ТВБВ №10026/0657 філії</w:t>
                  </w:r>
                  <w:r w:rsidRPr="00B26C9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26C96">
                    <w:rPr>
                      <w:rFonts w:ascii="Times New Roman" w:hAnsi="Times New Roman" w:cs="Times New Roman"/>
                      <w:sz w:val="28"/>
                      <w:szCs w:val="28"/>
                      <w:lang w:val="uk-UA"/>
                    </w:rPr>
                    <w:t>Головн</w:t>
                  </w:r>
                  <w:r>
                    <w:rPr>
                      <w:rFonts w:ascii="Times New Roman" w:hAnsi="Times New Roman" w:cs="Times New Roman"/>
                      <w:sz w:val="28"/>
                      <w:szCs w:val="28"/>
                      <w:lang w:val="uk-UA"/>
                    </w:rPr>
                    <w:t>е</w:t>
                  </w:r>
                  <w:r w:rsidRPr="00B26C96">
                    <w:rPr>
                      <w:rFonts w:ascii="Times New Roman" w:hAnsi="Times New Roman" w:cs="Times New Roman"/>
                      <w:sz w:val="28"/>
                      <w:szCs w:val="28"/>
                      <w:lang w:val="uk-UA"/>
                    </w:rPr>
                    <w:t xml:space="preserve"> Управління по м. Києву та Київській області</w:t>
                  </w:r>
                  <w:r>
                    <w:rPr>
                      <w:rFonts w:ascii="Times New Roman" w:hAnsi="Times New Roman" w:cs="Times New Roman"/>
                      <w:sz w:val="28"/>
                      <w:szCs w:val="28"/>
                      <w:lang w:val="uk-UA"/>
                    </w:rPr>
                    <w:t>»</w:t>
                  </w:r>
                  <w:r w:rsidRPr="00B26C96">
                    <w:rPr>
                      <w:rFonts w:ascii="Times New Roman" w:hAnsi="Times New Roman" w:cs="Times New Roman"/>
                      <w:sz w:val="28"/>
                      <w:szCs w:val="28"/>
                      <w:lang w:val="uk-UA"/>
                    </w:rPr>
                    <w:t xml:space="preserve"> АТ «Ощадбанк»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Pr="00B26C96">
                    <w:rPr>
                      <w:rFonts w:ascii="Times New Roman" w:hAnsi="Times New Roman" w:cs="Times New Roman"/>
                      <w:sz w:val="28"/>
                      <w:szCs w:val="28"/>
                      <w:lang w:val="uk-UA"/>
                    </w:rPr>
                    <w:t>UA923226690000026002300148953</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CB0CE50"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56304A">
              <w:rPr>
                <w:rFonts w:cstheme="minorHAnsi"/>
                <w:lang w:val="uk-UA"/>
              </w:rPr>
              <w:t>50</w:t>
            </w:r>
            <w:r w:rsidR="005060EE">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7F85B25" w:rsidR="00997C13" w:rsidRPr="009E5A80" w:rsidRDefault="005060EE" w:rsidP="00424142">
            <w:pPr>
              <w:jc w:val="center"/>
              <w:rPr>
                <w:rFonts w:ascii="Times New Roman" w:hAnsi="Times New Roman" w:cs="Times New Roman"/>
                <w:sz w:val="28"/>
                <w:szCs w:val="28"/>
                <w:lang w:val="uk-UA" w:eastAsia="en-US"/>
              </w:rPr>
            </w:pPr>
            <w:r w:rsidRPr="00F11045">
              <w:rPr>
                <w:rFonts w:ascii="Times New Roman" w:hAnsi="Times New Roman" w:cs="Times New Roman"/>
                <w:sz w:val="28"/>
                <w:szCs w:val="28"/>
                <w:lang w:val="uk-UA"/>
              </w:rPr>
              <w:t>189,010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040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040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14036A0A" w:rsidR="002A67DD" w:rsidRPr="00F6068E" w:rsidRDefault="005060EE" w:rsidP="007B2791">
            <w:pPr>
              <w:jc w:val="center"/>
              <w:rPr>
                <w:sz w:val="28"/>
                <w:szCs w:val="28"/>
                <w:lang w:val="uk-UA" w:eastAsia="en-US"/>
              </w:rPr>
            </w:pPr>
            <w:r w:rsidRPr="00F11045">
              <w:rPr>
                <w:rFonts w:ascii="Times New Roman" w:hAnsi="Times New Roman" w:cs="Times New Roman"/>
                <w:sz w:val="28"/>
                <w:szCs w:val="28"/>
                <w:lang w:val="uk-UA"/>
              </w:rPr>
              <w:t>189,010</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060EE">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1E4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2D0"/>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2812"/>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0E8"/>
    <w:rsid w:val="004F7523"/>
    <w:rsid w:val="00500FF3"/>
    <w:rsid w:val="005060EE"/>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04A"/>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2C3"/>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08ED"/>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4283"/>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A72"/>
    <w:rsid w:val="00B05DED"/>
    <w:rsid w:val="00B074DD"/>
    <w:rsid w:val="00B10BF6"/>
    <w:rsid w:val="00B111D2"/>
    <w:rsid w:val="00B146AA"/>
    <w:rsid w:val="00B162FF"/>
    <w:rsid w:val="00B212A4"/>
    <w:rsid w:val="00B23F3F"/>
    <w:rsid w:val="00B248CE"/>
    <w:rsid w:val="00B258E5"/>
    <w:rsid w:val="00B259B2"/>
    <w:rsid w:val="00B2733E"/>
    <w:rsid w:val="00B2733F"/>
    <w:rsid w:val="00B27FA2"/>
    <w:rsid w:val="00B31826"/>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7FC2"/>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2686"/>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3509"/>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4E3D"/>
    <w:rsid w:val="00F0515B"/>
    <w:rsid w:val="00F078F6"/>
    <w:rsid w:val="00F11045"/>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6B15"/>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272444460">
      <w:bodyDiv w:val="1"/>
      <w:marLeft w:val="0"/>
      <w:marRight w:val="0"/>
      <w:marTop w:val="0"/>
      <w:marBottom w:val="0"/>
      <w:divBdr>
        <w:top w:val="none" w:sz="0" w:space="0" w:color="auto"/>
        <w:left w:val="none" w:sz="0" w:space="0" w:color="auto"/>
        <w:bottom w:val="none" w:sz="0" w:space="0" w:color="auto"/>
        <w:right w:val="none" w:sz="0" w:space="0" w:color="auto"/>
      </w:divBdr>
    </w:div>
    <w:div w:id="278100621">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74347064">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A275-98DC-49F1-B899-F82B236B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3600</Words>
  <Characters>25702</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7</cp:revision>
  <cp:lastPrinted>2020-01-14T12:06:00Z</cp:lastPrinted>
  <dcterms:created xsi:type="dcterms:W3CDTF">2020-01-20T12:26:00Z</dcterms:created>
  <dcterms:modified xsi:type="dcterms:W3CDTF">2020-01-20T13:47:00Z</dcterms:modified>
</cp:coreProperties>
</file>