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D4F9" w14:textId="77777777" w:rsidR="00AF6B48" w:rsidRPr="00D25B91" w:rsidRDefault="00AF6B48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14:paraId="65820E45" w14:textId="77777777" w:rsidR="00D90015" w:rsidRDefault="00D90015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90015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Єдиний майновий комплекс (ЄМК ), за  адресою : Хмельницька область, Хмельницький район , Копистинська  сільська  рада,  селище  Богданівці, вулиця Заводська, ½-Б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 xml:space="preserve"> </w:t>
      </w:r>
    </w:p>
    <w:p w14:paraId="4131D468" w14:textId="183C89E0" w:rsidR="00AF6B48" w:rsidRPr="00D25B91" w:rsidRDefault="00AF6B48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3380"/>
        <w:gridCol w:w="6013"/>
      </w:tblGrid>
      <w:tr w:rsidR="00AF6B48" w:rsidRPr="00D178C0" w14:paraId="4648E572" w14:textId="77777777" w:rsidTr="009B5CFF">
        <w:trPr>
          <w:trHeight w:val="522"/>
          <w:jc w:val="center"/>
        </w:trPr>
        <w:tc>
          <w:tcPr>
            <w:tcW w:w="891" w:type="dxa"/>
          </w:tcPr>
          <w:p w14:paraId="1233A019" w14:textId="718E9169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A3B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61918E83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14:paraId="2815109B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14:paraId="4B2ADC0E" w14:textId="77777777" w:rsidR="00AF6B48" w:rsidRPr="0058271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AF6B48" w:rsidRPr="00D178C0" w14:paraId="204CDA4A" w14:textId="77777777" w:rsidTr="009B5CFF">
        <w:trPr>
          <w:trHeight w:val="1124"/>
          <w:jc w:val="center"/>
        </w:trPr>
        <w:tc>
          <w:tcPr>
            <w:tcW w:w="891" w:type="dxa"/>
          </w:tcPr>
          <w:p w14:paraId="75971084" w14:textId="4FF99DE4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A3B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3F618A72" w14:textId="77777777" w:rsidR="00AF6B48" w:rsidRPr="00E55D4E" w:rsidRDefault="00AF6B48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14:paraId="1C08FFDF" w14:textId="77777777" w:rsidR="00AF6B48" w:rsidRPr="001F57F1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AF6B48" w:rsidRPr="00D178C0" w14:paraId="10BD935F" w14:textId="77777777" w:rsidTr="00A75577">
        <w:trPr>
          <w:trHeight w:val="2146"/>
          <w:jc w:val="center"/>
        </w:trPr>
        <w:tc>
          <w:tcPr>
            <w:tcW w:w="891" w:type="dxa"/>
          </w:tcPr>
          <w:p w14:paraId="3F5F1F47" w14:textId="2D7E81DF" w:rsidR="00AF6B48" w:rsidRPr="0085235B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A3B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3380" w:type="dxa"/>
          </w:tcPr>
          <w:p w14:paraId="3F3FAAD4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14:paraId="08895E29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18EE07E4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EB163C1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14:paraId="764CF093" w14:textId="2FA70E26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потенційних покупців - фізичних осіб - громадян України </w:t>
            </w:r>
            <w:r w:rsidR="000246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246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копія паспорта громадянина України; 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00B63536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14:paraId="69240B31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14:paraId="26CE47F2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2AAD87E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5F2B0722" w14:textId="083450C5" w:rsidR="00AF6B48" w:rsidRPr="0085235B" w:rsidRDefault="00AF6B48" w:rsidP="00FA3B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AF6B48" w:rsidRPr="00D178C0" w14:paraId="2A821F9F" w14:textId="77777777" w:rsidTr="009B5CFF">
        <w:trPr>
          <w:trHeight w:val="522"/>
          <w:jc w:val="center"/>
        </w:trPr>
        <w:tc>
          <w:tcPr>
            <w:tcW w:w="10284" w:type="dxa"/>
            <w:gridSpan w:val="3"/>
          </w:tcPr>
          <w:p w14:paraId="434433C0" w14:textId="01E7FD66" w:rsidR="00AF6B48" w:rsidRPr="00E55D4E" w:rsidRDefault="00AF6B48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AF6B48" w:rsidRPr="0030248E" w14:paraId="2592A647" w14:textId="77777777" w:rsidTr="009B5CFF">
        <w:trPr>
          <w:trHeight w:val="522"/>
          <w:jc w:val="center"/>
        </w:trPr>
        <w:tc>
          <w:tcPr>
            <w:tcW w:w="891" w:type="dxa"/>
          </w:tcPr>
          <w:p w14:paraId="5D03EC8E" w14:textId="77777777" w:rsidR="00AF6B48" w:rsidRPr="0085235B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2.1.</w:t>
            </w:r>
          </w:p>
        </w:tc>
        <w:tc>
          <w:tcPr>
            <w:tcW w:w="3380" w:type="dxa"/>
          </w:tcPr>
          <w:p w14:paraId="7A96DC99" w14:textId="77777777" w:rsidR="00AF6B48" w:rsidRPr="0085235B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14:paraId="0899D1B2" w14:textId="77777777" w:rsidR="00AF6B48" w:rsidRPr="0085235B" w:rsidRDefault="00AF6B48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14:paraId="7B6E97E4" w14:textId="77777777" w:rsidR="000A0962" w:rsidRDefault="000A0962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962">
              <w:rPr>
                <w:rFonts w:ascii="Times New Roman" w:hAnsi="Times New Roman"/>
                <w:sz w:val="24"/>
                <w:szCs w:val="24"/>
                <w:lang w:val="uk-UA"/>
              </w:rPr>
              <w:t>ПРИВАТНЕ ВИРОБНИЧО-КОМЕРЦІЙНЕ ПІДПРИЄМСТВО "БУДЗАЛІЗОБЕТОН"</w:t>
            </w:r>
          </w:p>
          <w:p w14:paraId="5C90C00F" w14:textId="74F6F4C7" w:rsidR="0030248E" w:rsidRPr="000A0962" w:rsidRDefault="0030248E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48E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  <w:r w:rsidR="000A0962" w:rsidRPr="000A0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23830477</w:t>
            </w:r>
          </w:p>
          <w:p w14:paraId="4C37C5B8" w14:textId="77777777" w:rsidR="000A0962" w:rsidRDefault="000A0962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962">
              <w:rPr>
                <w:rFonts w:ascii="Times New Roman" w:hAnsi="Times New Roman"/>
                <w:sz w:val="24"/>
                <w:szCs w:val="24"/>
                <w:lang w:val="uk-UA"/>
              </w:rPr>
              <w:t>UA903154050000026001060826653</w:t>
            </w:r>
          </w:p>
          <w:p w14:paraId="6338F744" w14:textId="0C1CE988" w:rsidR="0030248E" w:rsidRPr="0030248E" w:rsidRDefault="0079452D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ІПН </w:t>
            </w:r>
            <w:r w:rsidR="000A0962" w:rsidRPr="000A0962">
              <w:rPr>
                <w:rFonts w:ascii="Times New Roman" w:hAnsi="Times New Roman"/>
                <w:sz w:val="24"/>
                <w:szCs w:val="24"/>
                <w:lang w:val="uk-UA"/>
              </w:rPr>
              <w:t>238304722188</w:t>
            </w:r>
          </w:p>
          <w:p w14:paraId="384E0E98" w14:textId="129049CA" w:rsidR="00AF6B48" w:rsidRPr="000A0962" w:rsidRDefault="00AF6B48" w:rsidP="000A096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6B48" w:rsidRPr="00D178C0" w14:paraId="5966584A" w14:textId="77777777" w:rsidTr="009B5CFF">
        <w:trPr>
          <w:trHeight w:val="255"/>
          <w:jc w:val="center"/>
        </w:trPr>
        <w:tc>
          <w:tcPr>
            <w:tcW w:w="891" w:type="dxa"/>
          </w:tcPr>
          <w:p w14:paraId="0601A918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08C0B325" w14:textId="77777777" w:rsidR="00AF6B48" w:rsidRPr="00E55D4E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14:paraId="63A55979" w14:textId="2123ACB4" w:rsidR="00AF6B48" w:rsidRPr="00233B12" w:rsidRDefault="0079452D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A0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1345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Хмельницька обл, </w:t>
            </w:r>
            <w:r w:rsidR="000A0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р-н, </w:t>
            </w:r>
            <w:r w:rsidR="000A0962" w:rsidRPr="000A0962">
              <w:rPr>
                <w:rFonts w:ascii="Times New Roman" w:hAnsi="Times New Roman"/>
                <w:sz w:val="24"/>
                <w:szCs w:val="24"/>
                <w:lang w:val="uk-UA"/>
              </w:rPr>
              <w:t>селище Богданівці</w:t>
            </w:r>
          </w:p>
        </w:tc>
      </w:tr>
      <w:tr w:rsidR="00AF6B48" w:rsidRPr="00D178C0" w14:paraId="4304B495" w14:textId="77777777" w:rsidTr="009B5CFF">
        <w:trPr>
          <w:trHeight w:val="522"/>
          <w:jc w:val="center"/>
        </w:trPr>
        <w:tc>
          <w:tcPr>
            <w:tcW w:w="891" w:type="dxa"/>
          </w:tcPr>
          <w:p w14:paraId="4655E6D9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14:paraId="6885F61C" w14:textId="7FC3900F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</w:t>
            </w:r>
            <w:r w:rsidR="000A09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</w:t>
            </w:r>
            <w:r w:rsidR="000A09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Замовника</w:t>
            </w:r>
          </w:p>
        </w:tc>
        <w:tc>
          <w:tcPr>
            <w:tcW w:w="6013" w:type="dxa"/>
          </w:tcPr>
          <w:p w14:paraId="2AFAD73C" w14:textId="77777777" w:rsidR="000A0962" w:rsidRPr="000A0962" w:rsidRDefault="000A0962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962">
              <w:rPr>
                <w:rFonts w:ascii="Times New Roman" w:hAnsi="Times New Roman"/>
                <w:sz w:val="24"/>
                <w:szCs w:val="24"/>
                <w:lang w:val="uk-UA"/>
              </w:rPr>
              <w:t>+380673800577 - Віктор Петрович</w:t>
            </w:r>
          </w:p>
          <w:p w14:paraId="741FE0F3" w14:textId="02A7CB1C" w:rsidR="000A0962" w:rsidRPr="000A0962" w:rsidRDefault="000A0962" w:rsidP="000A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+380673115269 - Микола Іванович</w:t>
            </w:r>
          </w:p>
          <w:p w14:paraId="7DB27A24" w14:textId="6F264A3C" w:rsidR="00AF6B48" w:rsidRPr="00E55D4E" w:rsidRDefault="00AF6B48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6B48" w:rsidRPr="00D178C0" w14:paraId="1E99EF66" w14:textId="77777777" w:rsidTr="009B5CFF">
        <w:trPr>
          <w:trHeight w:val="522"/>
          <w:jc w:val="center"/>
        </w:trPr>
        <w:tc>
          <w:tcPr>
            <w:tcW w:w="891" w:type="dxa"/>
          </w:tcPr>
          <w:p w14:paraId="26909B90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14:paraId="14AC9837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14:paraId="3C583299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AF6B48" w:rsidRPr="00D178C0" w14:paraId="1E16ABA0" w14:textId="77777777" w:rsidTr="009B5CFF">
        <w:trPr>
          <w:trHeight w:val="522"/>
          <w:jc w:val="center"/>
        </w:trPr>
        <w:tc>
          <w:tcPr>
            <w:tcW w:w="10284" w:type="dxa"/>
            <w:gridSpan w:val="3"/>
          </w:tcPr>
          <w:p w14:paraId="1281F167" w14:textId="77777777" w:rsidR="00AF6B48" w:rsidRPr="00434158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AF6B48" w:rsidRPr="007C4DCC" w14:paraId="3EEF179F" w14:textId="77777777" w:rsidTr="009B5CFF">
        <w:trPr>
          <w:trHeight w:val="591"/>
          <w:jc w:val="center"/>
        </w:trPr>
        <w:tc>
          <w:tcPr>
            <w:tcW w:w="891" w:type="dxa"/>
          </w:tcPr>
          <w:p w14:paraId="66C2DD3C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14:paraId="5CAE24E8" w14:textId="77777777" w:rsidR="00AF6B48" w:rsidRPr="00F845D3" w:rsidRDefault="00AF6B48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14:paraId="1FCAB784" w14:textId="1014A297" w:rsidR="00AF6B48" w:rsidRPr="00D90015" w:rsidRDefault="00D90015" w:rsidP="00C6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>Єдиний майновий комплекс (ЄМК ), за  адресою : Хмельницька область, Хмельницький район , Копистинська  сільська  рада,  селище  Богданівці, вулиця Заводська, ½-Б</w:t>
            </w:r>
          </w:p>
        </w:tc>
      </w:tr>
      <w:tr w:rsidR="00AF6B48" w:rsidRPr="007C4DCC" w14:paraId="3C6C26DB" w14:textId="77777777" w:rsidTr="009B5CFF">
        <w:trPr>
          <w:trHeight w:val="910"/>
          <w:jc w:val="center"/>
        </w:trPr>
        <w:tc>
          <w:tcPr>
            <w:tcW w:w="891" w:type="dxa"/>
          </w:tcPr>
          <w:p w14:paraId="756A1257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14:paraId="3B16C593" w14:textId="0EF673D7" w:rsidR="00AF6B48" w:rsidRPr="00886202" w:rsidRDefault="00AF6B48" w:rsidP="0030248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</w:t>
            </w:r>
          </w:p>
          <w:p w14:paraId="73A670F7" w14:textId="77777777" w:rsidR="00AF6B48" w:rsidRPr="00886202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  <w:p w14:paraId="5348B3DB" w14:textId="77777777" w:rsidR="00AF6B48" w:rsidRPr="00F845D3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14:paraId="2728C9C7" w14:textId="3DE3656C" w:rsidR="0030248E" w:rsidRPr="000A0962" w:rsidRDefault="001666EA" w:rsidP="00302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6EA">
              <w:rPr>
                <w:rFonts w:ascii="Times New Roman" w:hAnsi="Times New Roman"/>
                <w:sz w:val="24"/>
                <w:szCs w:val="24"/>
                <w:lang w:val="uk-UA"/>
              </w:rPr>
              <w:t>19600000</w:t>
            </w:r>
            <w:r w:rsidRPr="00166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6B48" w:rsidRPr="00151F9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30248E" w:rsidRPr="00151F96">
              <w:rPr>
                <w:rFonts w:ascii="Times New Roman" w:hAnsi="Times New Roman"/>
                <w:sz w:val="24"/>
                <w:szCs w:val="24"/>
                <w:lang w:val="uk-UA"/>
              </w:rPr>
              <w:t>, з ПДВ</w:t>
            </w:r>
          </w:p>
          <w:p w14:paraId="1E68FAD9" w14:textId="2E52233C" w:rsidR="00AF6B48" w:rsidRPr="00F845D3" w:rsidRDefault="00AF6B48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AF6B48" w:rsidRPr="00D178C0" w14:paraId="2ACFC2BD" w14:textId="77777777" w:rsidTr="004D75BC">
        <w:trPr>
          <w:trHeight w:val="349"/>
          <w:jc w:val="center"/>
        </w:trPr>
        <w:tc>
          <w:tcPr>
            <w:tcW w:w="891" w:type="dxa"/>
          </w:tcPr>
          <w:p w14:paraId="1C1B791A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14:paraId="6501903E" w14:textId="77777777" w:rsidR="00AF6B48" w:rsidRDefault="00AF6B48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  <w:p w14:paraId="08078467" w14:textId="77777777" w:rsidR="00AF6B48" w:rsidRPr="00F845D3" w:rsidRDefault="00AF6B48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14:paraId="6474FA35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36736848"/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>Єдиний майновий комплекс (ЄМК ), за  адресою : Хмельницька область, Хмельницький район , Копистинська  сільська  рада,  селище  Богданівці, вулиця Заводська, ½-Б</w:t>
            </w:r>
            <w:bookmarkEnd w:id="0"/>
          </w:p>
          <w:p w14:paraId="76AFA81B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  об`єкта нерухомого  майна – 1574718768</w:t>
            </w:r>
          </w:p>
          <w:p w14:paraId="4BD10061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Кадастровий   номер  земельної  ділянки 6825083300:07:001:1573 </w:t>
            </w:r>
          </w:p>
          <w:p w14:paraId="59F2FABF" w14:textId="667B27AE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Характеристики  єдиного майнового комплексу :</w:t>
            </w:r>
          </w:p>
          <w:p w14:paraId="598A4C6C" w14:textId="77777777" w:rsidR="00D90015" w:rsidRPr="00D90015" w:rsidRDefault="00D90015" w:rsidP="00D900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>розмір земельної ділянки 4,474 га ;</w:t>
            </w:r>
          </w:p>
          <w:p w14:paraId="29A2BFAD" w14:textId="77777777" w:rsidR="00D90015" w:rsidRPr="00D90015" w:rsidRDefault="00D90015" w:rsidP="00D900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>розташований  в промисловій зоні поблизу  м. Хмельницького   на    відстані    5 км     від  окружної     дороги     ( М 12 )         м. Хмельницький . До  території  ЄМК  підходить  дорога з твердим  покриттям;</w:t>
            </w:r>
          </w:p>
          <w:p w14:paraId="63A00DA9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  на територію  ЄМК заходять дві під`їздні  залізничні  колії ;</w:t>
            </w:r>
          </w:p>
          <w:p w14:paraId="0E3906FB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  ділянка  не має санітарних обмежень щодо розташування </w:t>
            </w:r>
          </w:p>
          <w:p w14:paraId="3CCD84F4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об`єктів промислового та сільськогосподарського </w:t>
            </w:r>
          </w:p>
          <w:p w14:paraId="33726034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виробництва ;</w:t>
            </w:r>
          </w:p>
          <w:p w14:paraId="45E18362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  територія    має   бетонне  покриття ;</w:t>
            </w:r>
          </w:p>
          <w:p w14:paraId="777A0DEE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  забезпечений      електроенергією    через  власні зовнішні  </w:t>
            </w:r>
          </w:p>
          <w:p w14:paraId="207560AB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електромережі   та ТП 2х 630 кВ; </w:t>
            </w:r>
          </w:p>
          <w:p w14:paraId="520A47AD" w14:textId="77777777" w:rsidR="00D90015" w:rsidRPr="00D90015" w:rsidRDefault="00D90015" w:rsidP="00D900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>власна  скважина    для     водопостачання ;</w:t>
            </w:r>
          </w:p>
          <w:p w14:paraId="35CCDFB4" w14:textId="77777777" w:rsidR="00D90015" w:rsidRPr="00D90015" w:rsidRDefault="00D90015" w:rsidP="00D900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0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 складі ЄМК  знаходяться  сім  об`єктів  нерухомого  майна     загальною  площею 4559,7 м.кв.</w:t>
            </w:r>
          </w:p>
          <w:p w14:paraId="0FAEBC02" w14:textId="77777777" w:rsidR="00D90015" w:rsidRPr="00D90015" w:rsidRDefault="00D90015" w:rsidP="00D9001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6F545F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048A77" w14:textId="77777777" w:rsidR="00D90015" w:rsidRPr="00D90015" w:rsidRDefault="00D90015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AD34CF" w14:textId="3B270EF1" w:rsidR="00AF6B48" w:rsidRPr="00D90015" w:rsidRDefault="00AF6B48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6B48" w:rsidRPr="007C4DCC" w14:paraId="672B1241" w14:textId="77777777" w:rsidTr="009B5CFF">
        <w:trPr>
          <w:trHeight w:val="698"/>
          <w:jc w:val="center"/>
        </w:trPr>
        <w:tc>
          <w:tcPr>
            <w:tcW w:w="891" w:type="dxa"/>
          </w:tcPr>
          <w:p w14:paraId="7F6EA8D2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14:paraId="534F6A29" w14:textId="6A90F529" w:rsidR="00AF6B48" w:rsidRPr="00F845D3" w:rsidRDefault="00AF6B48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гарантiйного внеску </w:t>
            </w:r>
            <w:r w:rsidR="0030248E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5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13" w:type="dxa"/>
          </w:tcPr>
          <w:p w14:paraId="28A89A10" w14:textId="0EFB4567" w:rsidR="00AF6B48" w:rsidRPr="00D90015" w:rsidRDefault="001666EA" w:rsidP="0094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6EA">
              <w:rPr>
                <w:rFonts w:ascii="Times New Roman" w:hAnsi="Times New Roman"/>
                <w:sz w:val="24"/>
                <w:szCs w:val="24"/>
                <w:lang w:val="uk-UA"/>
              </w:rPr>
              <w:t>980000</w:t>
            </w:r>
          </w:p>
        </w:tc>
      </w:tr>
      <w:tr w:rsidR="00AF6B48" w:rsidRPr="007C4DCC" w14:paraId="12B7492C" w14:textId="77777777" w:rsidTr="009B5CFF">
        <w:trPr>
          <w:trHeight w:val="751"/>
          <w:jc w:val="center"/>
        </w:trPr>
        <w:tc>
          <w:tcPr>
            <w:tcW w:w="891" w:type="dxa"/>
          </w:tcPr>
          <w:p w14:paraId="7A683B86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14:paraId="0BC083D0" w14:textId="77777777" w:rsidR="00AF6B48" w:rsidRPr="00F845D3" w:rsidRDefault="00AF6B48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14:paraId="738D670D" w14:textId="7657010B" w:rsidR="00AF6B48" w:rsidRPr="00D90015" w:rsidRDefault="001666EA" w:rsidP="0094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6EA">
              <w:rPr>
                <w:rFonts w:ascii="Times New Roman" w:hAnsi="Times New Roman"/>
                <w:sz w:val="24"/>
                <w:szCs w:val="24"/>
                <w:lang w:val="uk-UA"/>
              </w:rPr>
              <w:t>196000</w:t>
            </w:r>
          </w:p>
        </w:tc>
      </w:tr>
      <w:tr w:rsidR="00AF6B48" w:rsidRPr="00D178C0" w14:paraId="0E8F97FA" w14:textId="77777777" w:rsidTr="009B5CFF">
        <w:trPr>
          <w:trHeight w:val="472"/>
          <w:jc w:val="center"/>
        </w:trPr>
        <w:tc>
          <w:tcPr>
            <w:tcW w:w="891" w:type="dxa"/>
          </w:tcPr>
          <w:p w14:paraId="588CC582" w14:textId="3BC3720D"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D900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80" w:type="dxa"/>
          </w:tcPr>
          <w:p w14:paraId="2B81E9AA" w14:textId="77777777" w:rsidR="00AF6B48" w:rsidRPr="00C832DF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14:paraId="31EDE5A4" w14:textId="77777777" w:rsidR="00AF6B48" w:rsidRPr="00C832DF" w:rsidRDefault="00AF6B48" w:rsidP="00D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AF6B48" w:rsidRPr="00D178C0" w14:paraId="1D295752" w14:textId="77777777" w:rsidTr="009B5CFF">
        <w:trPr>
          <w:trHeight w:val="471"/>
          <w:jc w:val="center"/>
        </w:trPr>
        <w:tc>
          <w:tcPr>
            <w:tcW w:w="891" w:type="dxa"/>
          </w:tcPr>
          <w:p w14:paraId="35C60BAA" w14:textId="398679D5"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D900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380" w:type="dxa"/>
          </w:tcPr>
          <w:p w14:paraId="09BA5B4B" w14:textId="77777777" w:rsidR="00AF6B48" w:rsidRPr="00C832DF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14:paraId="4D4CFA40" w14:textId="77777777" w:rsidR="00AF6B48" w:rsidRPr="00C832DF" w:rsidRDefault="00AF6B48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  <w:tr w:rsidR="00B54060" w:rsidRPr="00D178C0" w14:paraId="35A68CC6" w14:textId="77777777" w:rsidTr="009B5CFF">
        <w:trPr>
          <w:trHeight w:val="471"/>
          <w:jc w:val="center"/>
        </w:trPr>
        <w:tc>
          <w:tcPr>
            <w:tcW w:w="891" w:type="dxa"/>
          </w:tcPr>
          <w:p w14:paraId="33B3614F" w14:textId="77777777" w:rsidR="00B54060" w:rsidRDefault="00B54060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</w:tcPr>
          <w:p w14:paraId="03A8E184" w14:textId="77777777" w:rsidR="00B54060" w:rsidRPr="00FC3412" w:rsidRDefault="00B54060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013" w:type="dxa"/>
          </w:tcPr>
          <w:p w14:paraId="00E03D91" w14:textId="77777777" w:rsidR="00B54060" w:rsidRDefault="00B54060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607B81C" w14:textId="77777777" w:rsidR="00AF6B48" w:rsidRDefault="00AF6B48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7C1D28F" w14:textId="77777777" w:rsidR="00AF6B48" w:rsidRPr="00AE7CB4" w:rsidRDefault="00AF6B48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45"/>
        <w:gridCol w:w="8783"/>
      </w:tblGrid>
      <w:tr w:rsidR="00AF6B48" w:rsidRPr="00D178C0" w14:paraId="666ACE93" w14:textId="77777777" w:rsidTr="00D178C0">
        <w:trPr>
          <w:trHeight w:val="2970"/>
        </w:trPr>
        <w:tc>
          <w:tcPr>
            <w:tcW w:w="1035" w:type="dxa"/>
            <w:gridSpan w:val="2"/>
          </w:tcPr>
          <w:p w14:paraId="71B785DF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14:paraId="2897B89F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14:paraId="5F9261EF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14:paraId="0DC3F42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14:paraId="317B40D5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14:paraId="60730717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14:paraId="37E3E3C9" w14:textId="77777777" w:rsidR="00AF6B48" w:rsidRPr="00191ECF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14:paraId="3CA6551C" w14:textId="77777777" w:rsidR="00AF6B48" w:rsidRPr="00D6140A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14:paraId="541BEAC3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14:paraId="4E0A21A4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14:paraId="75B97282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AF6B48" w:rsidRPr="00D178C0" w14:paraId="1C587D55" w14:textId="77777777" w:rsidTr="00D178C0">
        <w:trPr>
          <w:trHeight w:val="273"/>
        </w:trPr>
        <w:tc>
          <w:tcPr>
            <w:tcW w:w="10030" w:type="dxa"/>
            <w:gridSpan w:val="3"/>
          </w:tcPr>
          <w:p w14:paraId="2A83C63B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F6B48" w:rsidRPr="00D178C0" w14:paraId="1286D67F" w14:textId="77777777" w:rsidTr="002410F6">
        <w:trPr>
          <w:trHeight w:val="1068"/>
        </w:trPr>
        <w:tc>
          <w:tcPr>
            <w:tcW w:w="576" w:type="dxa"/>
          </w:tcPr>
          <w:p w14:paraId="09CCECB1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14:paraId="15A0E85E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14:paraId="58FF1C1D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14:paraId="4DE666B1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14:paraId="1AFE6C32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14:paraId="2D89701D" w14:textId="77777777" w:rsidR="00AF6B48" w:rsidRPr="00943A97" w:rsidRDefault="00AF6B48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14:paraId="0C9ED9FC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14:paraId="451D5D08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AF6B48" w:rsidRPr="00A56DAC" w14:paraId="23FE77A3" w14:textId="77777777" w:rsidTr="00D178C0">
        <w:trPr>
          <w:trHeight w:val="3368"/>
        </w:trPr>
        <w:tc>
          <w:tcPr>
            <w:tcW w:w="576" w:type="dxa"/>
          </w:tcPr>
          <w:p w14:paraId="59DF90C4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14:paraId="70C185BE" w14:textId="77777777" w:rsidR="00AF6B48" w:rsidRPr="00A56DAC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14:paraId="4B34C25C" w14:textId="77777777" w:rsidR="00AF6B48" w:rsidRPr="00A56DAC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14:paraId="42111279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AF6B48" w:rsidRPr="00D178C0" w14:paraId="66AB08B5" w14:textId="77777777" w:rsidTr="00D178C0">
        <w:trPr>
          <w:trHeight w:val="553"/>
        </w:trPr>
        <w:tc>
          <w:tcPr>
            <w:tcW w:w="10030" w:type="dxa"/>
            <w:gridSpan w:val="3"/>
          </w:tcPr>
          <w:p w14:paraId="74406D39" w14:textId="77777777" w:rsidR="00AF6B48" w:rsidRPr="00D178C0" w:rsidRDefault="00AF6B48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AF6B48" w:rsidRPr="00D178C0" w14:paraId="56ADE953" w14:textId="77777777" w:rsidTr="00D178C0">
        <w:trPr>
          <w:trHeight w:val="1488"/>
        </w:trPr>
        <w:tc>
          <w:tcPr>
            <w:tcW w:w="576" w:type="dxa"/>
          </w:tcPr>
          <w:p w14:paraId="4A7A0243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14:paraId="45B59D81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14:paraId="008870A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Start w:id="16" w:name="n179"/>
            <w:bookmarkEnd w:id="15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14:paraId="0D5761EF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80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14:paraId="6C54D36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1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14:paraId="0D4024DA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2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14:paraId="70D2810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0" w:name="n183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5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6B48" w:rsidRPr="00D178C0" w14:paraId="00E5BFA3" w14:textId="77777777" w:rsidTr="00D178C0">
        <w:trPr>
          <w:trHeight w:val="344"/>
        </w:trPr>
        <w:tc>
          <w:tcPr>
            <w:tcW w:w="10030" w:type="dxa"/>
            <w:gridSpan w:val="3"/>
          </w:tcPr>
          <w:p w14:paraId="68DCFD13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AF6B48" w:rsidRPr="00A56DAC" w14:paraId="2DB9D2F0" w14:textId="77777777" w:rsidTr="00D178C0">
        <w:trPr>
          <w:trHeight w:val="845"/>
        </w:trPr>
        <w:tc>
          <w:tcPr>
            <w:tcW w:w="576" w:type="dxa"/>
          </w:tcPr>
          <w:p w14:paraId="08F57BC0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14:paraId="4C993CAF" w14:textId="77777777" w:rsidR="00AF6B48" w:rsidRPr="00D178C0" w:rsidRDefault="00AF6B48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14:paraId="42416F67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35B97C2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BD9E968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1DC2542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58E0CB8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58AF471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ED07EBA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F9A59B9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F70D1DF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6300C50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C552AA9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A5267D1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6658F46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1363BCE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8A143B3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DAEF939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C9BFFAF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7ACBFB5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9434237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450326A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AF6B48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4E007D"/>
    <w:multiLevelType w:val="hybridMultilevel"/>
    <w:tmpl w:val="7ADE16D8"/>
    <w:lvl w:ilvl="0" w:tplc="CCFC9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B"/>
    <w:rsid w:val="000019DE"/>
    <w:rsid w:val="000025D8"/>
    <w:rsid w:val="00005C7A"/>
    <w:rsid w:val="0001241D"/>
    <w:rsid w:val="00012C85"/>
    <w:rsid w:val="000137CC"/>
    <w:rsid w:val="000137EC"/>
    <w:rsid w:val="00016EC3"/>
    <w:rsid w:val="00024693"/>
    <w:rsid w:val="00030F9A"/>
    <w:rsid w:val="00034C45"/>
    <w:rsid w:val="00041834"/>
    <w:rsid w:val="000418E0"/>
    <w:rsid w:val="00065443"/>
    <w:rsid w:val="00084227"/>
    <w:rsid w:val="0009124C"/>
    <w:rsid w:val="000A0962"/>
    <w:rsid w:val="000A55F7"/>
    <w:rsid w:val="000C4DE0"/>
    <w:rsid w:val="000C73CC"/>
    <w:rsid w:val="000D57A8"/>
    <w:rsid w:val="000F0270"/>
    <w:rsid w:val="000F2B49"/>
    <w:rsid w:val="0010110B"/>
    <w:rsid w:val="001017D7"/>
    <w:rsid w:val="0011663D"/>
    <w:rsid w:val="001275E4"/>
    <w:rsid w:val="00140989"/>
    <w:rsid w:val="00151F96"/>
    <w:rsid w:val="00161400"/>
    <w:rsid w:val="001666EA"/>
    <w:rsid w:val="00174940"/>
    <w:rsid w:val="001878BF"/>
    <w:rsid w:val="00191ECF"/>
    <w:rsid w:val="001C3B74"/>
    <w:rsid w:val="001C3C43"/>
    <w:rsid w:val="001C6231"/>
    <w:rsid w:val="001E34D7"/>
    <w:rsid w:val="001E43F9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0248E"/>
    <w:rsid w:val="003122FC"/>
    <w:rsid w:val="003342EE"/>
    <w:rsid w:val="003427F7"/>
    <w:rsid w:val="003520B1"/>
    <w:rsid w:val="003551D5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66C2D"/>
    <w:rsid w:val="004A52BE"/>
    <w:rsid w:val="004C009A"/>
    <w:rsid w:val="004C07DC"/>
    <w:rsid w:val="004D005B"/>
    <w:rsid w:val="004D2008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8469F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A7210"/>
    <w:rsid w:val="006B1729"/>
    <w:rsid w:val="006B52B3"/>
    <w:rsid w:val="006C728B"/>
    <w:rsid w:val="006D21CF"/>
    <w:rsid w:val="006F6F06"/>
    <w:rsid w:val="0071214F"/>
    <w:rsid w:val="007648B9"/>
    <w:rsid w:val="00765595"/>
    <w:rsid w:val="00771238"/>
    <w:rsid w:val="00776608"/>
    <w:rsid w:val="007831E6"/>
    <w:rsid w:val="00790584"/>
    <w:rsid w:val="00791BBA"/>
    <w:rsid w:val="00792BAB"/>
    <w:rsid w:val="0079452D"/>
    <w:rsid w:val="007C4DCC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1181"/>
    <w:rsid w:val="008A7399"/>
    <w:rsid w:val="008B65F5"/>
    <w:rsid w:val="008C0265"/>
    <w:rsid w:val="008D11B2"/>
    <w:rsid w:val="008F2D49"/>
    <w:rsid w:val="008F31E2"/>
    <w:rsid w:val="008F4B4A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B319F"/>
    <w:rsid w:val="00AE71FB"/>
    <w:rsid w:val="00AE7CB4"/>
    <w:rsid w:val="00AF6B48"/>
    <w:rsid w:val="00B00A6A"/>
    <w:rsid w:val="00B0156D"/>
    <w:rsid w:val="00B23B8F"/>
    <w:rsid w:val="00B25FA0"/>
    <w:rsid w:val="00B37B03"/>
    <w:rsid w:val="00B4075C"/>
    <w:rsid w:val="00B4591D"/>
    <w:rsid w:val="00B51636"/>
    <w:rsid w:val="00B54060"/>
    <w:rsid w:val="00B65ED3"/>
    <w:rsid w:val="00B733DD"/>
    <w:rsid w:val="00B8014E"/>
    <w:rsid w:val="00B80846"/>
    <w:rsid w:val="00B82130"/>
    <w:rsid w:val="00B87EF3"/>
    <w:rsid w:val="00B96F50"/>
    <w:rsid w:val="00BA32F7"/>
    <w:rsid w:val="00BC3544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B29F7"/>
    <w:rsid w:val="00CC267A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90015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02C7"/>
    <w:rsid w:val="00EA25AC"/>
    <w:rsid w:val="00EF6C3F"/>
    <w:rsid w:val="00F13470"/>
    <w:rsid w:val="00F14E3D"/>
    <w:rsid w:val="00F26B85"/>
    <w:rsid w:val="00F34DC3"/>
    <w:rsid w:val="00F43648"/>
    <w:rsid w:val="00F46EA7"/>
    <w:rsid w:val="00F51878"/>
    <w:rsid w:val="00F76F47"/>
    <w:rsid w:val="00F834FC"/>
    <w:rsid w:val="00F845D3"/>
    <w:rsid w:val="00F911A9"/>
    <w:rsid w:val="00FA3B5F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4EACB"/>
  <w15:docId w15:val="{11B226EE-8954-4D51-ABC7-4CB4E74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99"/>
    <w:rsid w:val="00622B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rsid w:val="001C3C4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1C3C43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C3C4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locked/>
    <w:rsid w:val="001C3C43"/>
    <w:rPr>
      <w:rFonts w:cs="Times New Roman"/>
      <w:b/>
      <w:bCs/>
      <w:sz w:val="20"/>
      <w:szCs w:val="20"/>
    </w:rPr>
  </w:style>
  <w:style w:type="paragraph" w:styleId="ac">
    <w:name w:val="Normal (Web)"/>
    <w:basedOn w:val="a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User</cp:lastModifiedBy>
  <cp:revision>3</cp:revision>
  <cp:lastPrinted>2019-11-20T10:32:00Z</cp:lastPrinted>
  <dcterms:created xsi:type="dcterms:W3CDTF">2020-05-25T11:50:00Z</dcterms:created>
  <dcterms:modified xsi:type="dcterms:W3CDTF">2020-05-25T11:52:00Z</dcterms:modified>
</cp:coreProperties>
</file>