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DAA2" w14:textId="198766F5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733855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r w:rsidR="00AF13FB" w:rsidRPr="00733855">
        <w:rPr>
          <w:rFonts w:eastAsia="Calibri"/>
          <w:sz w:val="28"/>
          <w:szCs w:val="28"/>
          <w:lang w:val="uk-UA" w:eastAsia="en-US"/>
        </w:rPr>
        <w:t xml:space="preserve">майнового комплексу </w:t>
      </w:r>
      <w:r w:rsidRPr="00733855">
        <w:rPr>
          <w:sz w:val="28"/>
          <w:szCs w:val="28"/>
          <w:lang w:val="uk-UA"/>
        </w:rPr>
        <w:t xml:space="preserve">за </w:t>
      </w:r>
      <w:proofErr w:type="spellStart"/>
      <w:r w:rsidRPr="00733855">
        <w:rPr>
          <w:sz w:val="28"/>
          <w:szCs w:val="28"/>
          <w:lang w:val="uk-UA"/>
        </w:rPr>
        <w:t>адресою</w:t>
      </w:r>
      <w:proofErr w:type="spellEnd"/>
      <w:r w:rsidRPr="00733855">
        <w:rPr>
          <w:sz w:val="28"/>
          <w:szCs w:val="28"/>
          <w:lang w:val="uk-UA"/>
        </w:rPr>
        <w:t xml:space="preserve">: м. Мукачево, вул. </w:t>
      </w:r>
      <w:proofErr w:type="spellStart"/>
      <w:r w:rsidR="00AF13FB" w:rsidRPr="00733855">
        <w:rPr>
          <w:sz w:val="28"/>
          <w:szCs w:val="28"/>
          <w:lang w:val="uk-UA"/>
        </w:rPr>
        <w:t>Шерегіїв</w:t>
      </w:r>
      <w:proofErr w:type="spellEnd"/>
      <w:r w:rsidR="00AF13FB" w:rsidRPr="00733855">
        <w:rPr>
          <w:sz w:val="28"/>
          <w:szCs w:val="28"/>
          <w:lang w:val="uk-UA"/>
        </w:rPr>
        <w:t xml:space="preserve"> братів, 11А</w:t>
      </w:r>
      <w:r w:rsidRPr="00733855">
        <w:rPr>
          <w:sz w:val="28"/>
          <w:szCs w:val="28"/>
          <w:lang w:val="uk-UA"/>
        </w:rPr>
        <w:t>.</w:t>
      </w:r>
    </w:p>
    <w:p w14:paraId="18403060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6DFC2C10" w:rsidR="005B3151" w:rsidRPr="00733855" w:rsidRDefault="007801AD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</w:t>
      </w:r>
      <w:r w:rsidR="00AF13FB" w:rsidRPr="00733855">
        <w:rPr>
          <w:rFonts w:eastAsia="Calibri"/>
          <w:sz w:val="28"/>
          <w:szCs w:val="28"/>
          <w:lang w:val="uk-UA" w:eastAsia="en-US"/>
        </w:rPr>
        <w:t>.</w:t>
      </w:r>
      <w:r w:rsidR="005B3151" w:rsidRPr="00733855">
        <w:rPr>
          <w:rFonts w:eastAsia="Calibri"/>
          <w:sz w:val="28"/>
          <w:szCs w:val="28"/>
          <w:lang w:val="uk-UA" w:eastAsia="en-US"/>
        </w:rPr>
        <w:t>1</w:t>
      </w:r>
      <w:r w:rsidR="00AF13FB" w:rsidRPr="00733855">
        <w:rPr>
          <w:rFonts w:eastAsia="Calibri"/>
          <w:sz w:val="28"/>
          <w:szCs w:val="28"/>
          <w:lang w:val="uk-UA" w:eastAsia="en-US"/>
        </w:rPr>
        <w:t>1</w:t>
      </w:r>
      <w:r w:rsidR="005B3151" w:rsidRPr="00733855">
        <w:rPr>
          <w:rFonts w:eastAsia="Calibri"/>
          <w:sz w:val="28"/>
          <w:szCs w:val="28"/>
          <w:lang w:val="uk-UA" w:eastAsia="en-US"/>
        </w:rPr>
        <w:t>.201</w:t>
      </w:r>
      <w:r w:rsidR="00AF13FB" w:rsidRPr="00733855">
        <w:rPr>
          <w:rFonts w:eastAsia="Calibri"/>
          <w:sz w:val="28"/>
          <w:szCs w:val="28"/>
          <w:lang w:val="uk-UA" w:eastAsia="en-US"/>
        </w:rPr>
        <w:t>9</w:t>
      </w:r>
      <w:r w:rsidR="005B3151" w:rsidRPr="00733855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3A77B4EC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164DF0D9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КОД, присвоєний об’єкту приватизації під час публікації в електронній торговій системі </w:t>
      </w:r>
      <w:r w:rsidR="00024A94" w:rsidRPr="00733855">
        <w:rPr>
          <w:sz w:val="28"/>
          <w:szCs w:val="28"/>
          <w:shd w:val="clear" w:color="auto" w:fill="FFFFFF"/>
        </w:rPr>
        <w:t>UA</w:t>
      </w:r>
      <w:r w:rsidR="00024A94" w:rsidRPr="00733855">
        <w:rPr>
          <w:sz w:val="28"/>
          <w:szCs w:val="28"/>
          <w:shd w:val="clear" w:color="auto" w:fill="FFFFFF"/>
          <w:lang w:val="uk-UA"/>
        </w:rPr>
        <w:t>-</w:t>
      </w:r>
      <w:r w:rsidR="00024A94" w:rsidRPr="00733855">
        <w:rPr>
          <w:sz w:val="28"/>
          <w:szCs w:val="28"/>
          <w:shd w:val="clear" w:color="auto" w:fill="FFFFFF"/>
        </w:rPr>
        <w:t>AR</w:t>
      </w:r>
      <w:r w:rsidR="00024A94" w:rsidRPr="00733855">
        <w:rPr>
          <w:sz w:val="28"/>
          <w:szCs w:val="28"/>
          <w:shd w:val="clear" w:color="auto" w:fill="FFFFFF"/>
          <w:lang w:val="uk-UA"/>
        </w:rPr>
        <w:t>-</w:t>
      </w:r>
      <w:r w:rsidR="00024A94" w:rsidRPr="00733855">
        <w:rPr>
          <w:sz w:val="28"/>
          <w:szCs w:val="28"/>
          <w:shd w:val="clear" w:color="auto" w:fill="FFFFFF"/>
        </w:rPr>
        <w:t>P</w:t>
      </w:r>
      <w:r w:rsidR="00024A94" w:rsidRPr="00733855">
        <w:rPr>
          <w:sz w:val="28"/>
          <w:szCs w:val="28"/>
          <w:shd w:val="clear" w:color="auto" w:fill="FFFFFF"/>
          <w:lang w:val="uk-UA"/>
        </w:rPr>
        <w:t>-2019-11-05-000004-3</w:t>
      </w:r>
      <w:r w:rsidRPr="00733855">
        <w:rPr>
          <w:sz w:val="28"/>
          <w:szCs w:val="28"/>
          <w:shd w:val="clear" w:color="auto" w:fill="F8F8F8"/>
          <w:lang w:val="uk-UA"/>
        </w:rPr>
        <w:t>.</w:t>
      </w:r>
      <w:r w:rsidRPr="00733855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4C4764DA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733855">
        <w:rPr>
          <w:sz w:val="28"/>
          <w:szCs w:val="28"/>
        </w:rPr>
        <w:t xml:space="preserve">м. Мукачево, </w:t>
      </w:r>
      <w:proofErr w:type="spellStart"/>
      <w:r w:rsidRPr="00733855">
        <w:rPr>
          <w:sz w:val="28"/>
          <w:szCs w:val="28"/>
        </w:rPr>
        <w:t>вул</w:t>
      </w:r>
      <w:proofErr w:type="spellEnd"/>
      <w:r w:rsidRPr="00733855">
        <w:rPr>
          <w:sz w:val="28"/>
          <w:szCs w:val="28"/>
        </w:rPr>
        <w:t xml:space="preserve">. </w:t>
      </w:r>
      <w:proofErr w:type="spellStart"/>
      <w:r w:rsidR="00024A94" w:rsidRPr="00733855">
        <w:rPr>
          <w:sz w:val="28"/>
          <w:szCs w:val="28"/>
          <w:lang w:val="uk-UA"/>
        </w:rPr>
        <w:t>Шерегіїв</w:t>
      </w:r>
      <w:proofErr w:type="spellEnd"/>
      <w:r w:rsidR="00024A94" w:rsidRPr="00733855">
        <w:rPr>
          <w:sz w:val="28"/>
          <w:szCs w:val="28"/>
          <w:lang w:val="uk-UA"/>
        </w:rPr>
        <w:t xml:space="preserve"> братів, 11А</w:t>
      </w:r>
      <w:r w:rsidRPr="00733855">
        <w:rPr>
          <w:sz w:val="28"/>
          <w:szCs w:val="28"/>
          <w:lang w:val="uk-UA"/>
        </w:rPr>
        <w:t>.</w:t>
      </w:r>
    </w:p>
    <w:p w14:paraId="1ED10D84" w14:textId="5235B0EA" w:rsidR="005B3151" w:rsidRPr="00733855" w:rsidRDefault="005B3151" w:rsidP="00DD6D48">
      <w:pPr>
        <w:pStyle w:val="a3"/>
        <w:ind w:firstLine="426"/>
        <w:rPr>
          <w:szCs w:val="28"/>
        </w:rPr>
      </w:pPr>
      <w:r w:rsidRPr="00733855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024A94" w:rsidRPr="00733855">
        <w:rPr>
          <w:rFonts w:eastAsia="Calibri"/>
          <w:bCs/>
          <w:szCs w:val="28"/>
          <w:lang w:eastAsia="en-US"/>
        </w:rPr>
        <w:t>майновий комплекс</w:t>
      </w:r>
      <w:r w:rsidR="007C4047" w:rsidRPr="00733855">
        <w:rPr>
          <w:rFonts w:eastAsia="Calibri"/>
          <w:bCs/>
          <w:szCs w:val="28"/>
          <w:lang w:eastAsia="en-US"/>
        </w:rPr>
        <w:t xml:space="preserve"> </w:t>
      </w:r>
      <w:r w:rsidR="007C4047" w:rsidRPr="00733855">
        <w:rPr>
          <w:szCs w:val="28"/>
        </w:rPr>
        <w:t xml:space="preserve">загальною площею 3586,70 </w:t>
      </w:r>
      <w:proofErr w:type="spellStart"/>
      <w:r w:rsidR="007C4047" w:rsidRPr="00733855">
        <w:rPr>
          <w:szCs w:val="28"/>
        </w:rPr>
        <w:t>кв.м</w:t>
      </w:r>
      <w:proofErr w:type="spellEnd"/>
      <w:r w:rsidR="007C4047" w:rsidRPr="00733855">
        <w:rPr>
          <w:szCs w:val="28"/>
        </w:rPr>
        <w:t>.</w:t>
      </w:r>
      <w:r w:rsidRPr="00733855">
        <w:rPr>
          <w:szCs w:val="28"/>
        </w:rPr>
        <w:t>, а саме:</w:t>
      </w:r>
    </w:p>
    <w:p w14:paraId="0348882E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proofErr w:type="spellStart"/>
      <w:r w:rsidRPr="00733855">
        <w:rPr>
          <w:bCs/>
          <w:szCs w:val="28"/>
          <w:shd w:val="clear" w:color="auto" w:fill="FFFFFF"/>
        </w:rPr>
        <w:t>адмінбудівлі</w:t>
      </w:r>
      <w:proofErr w:type="spellEnd"/>
      <w:r w:rsidRPr="00733855">
        <w:rPr>
          <w:bCs/>
          <w:szCs w:val="28"/>
          <w:shd w:val="clear" w:color="auto" w:fill="FFFFFF"/>
        </w:rPr>
        <w:t xml:space="preserve"> літ. "А" (в </w:t>
      </w:r>
      <w:proofErr w:type="spellStart"/>
      <w:r w:rsidRPr="00733855">
        <w:rPr>
          <w:bCs/>
          <w:szCs w:val="28"/>
          <w:shd w:val="clear" w:color="auto" w:fill="FFFFFF"/>
        </w:rPr>
        <w:t>т.ч</w:t>
      </w:r>
      <w:proofErr w:type="spellEnd"/>
      <w:r w:rsidRPr="00733855">
        <w:rPr>
          <w:bCs/>
          <w:szCs w:val="28"/>
          <w:shd w:val="clear" w:color="auto" w:fill="FFFFFF"/>
        </w:rPr>
        <w:t xml:space="preserve">. механічної майстерні літ. «А’») загальною площею 843,50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109D0835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 xml:space="preserve">гаража літ. «Б» загальною площею 235,00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73509545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 xml:space="preserve">промислового корпусу літ. «В» загальною площею 521,80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757B7BDD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 xml:space="preserve">складу-столярного цеху літ. «Г» загальною площею 190,90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1D4BBA9C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 xml:space="preserve">котельні літ. «Д» загальною площею 1000,60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7D42A6BE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proofErr w:type="spellStart"/>
      <w:r w:rsidRPr="00733855">
        <w:rPr>
          <w:bCs/>
          <w:szCs w:val="28"/>
          <w:shd w:val="clear" w:color="auto" w:fill="FFFFFF"/>
        </w:rPr>
        <w:t>мазутонасосної</w:t>
      </w:r>
      <w:proofErr w:type="spellEnd"/>
      <w:r w:rsidRPr="00733855">
        <w:rPr>
          <w:bCs/>
          <w:szCs w:val="28"/>
          <w:shd w:val="clear" w:color="auto" w:fill="FFFFFF"/>
        </w:rPr>
        <w:t xml:space="preserve"> станції літ. «Е» загальною площею 207,50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0103D072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 xml:space="preserve">хімводоочисної будівлі літ. «Ж» (в </w:t>
      </w:r>
      <w:proofErr w:type="spellStart"/>
      <w:r w:rsidRPr="00733855">
        <w:rPr>
          <w:bCs/>
          <w:szCs w:val="28"/>
          <w:shd w:val="clear" w:color="auto" w:fill="FFFFFF"/>
        </w:rPr>
        <w:t>т.ч</w:t>
      </w:r>
      <w:proofErr w:type="spellEnd"/>
      <w:r w:rsidRPr="00733855">
        <w:rPr>
          <w:bCs/>
          <w:szCs w:val="28"/>
          <w:shd w:val="clear" w:color="auto" w:fill="FFFFFF"/>
        </w:rPr>
        <w:t xml:space="preserve">. побутового корпусу літ. «Ж’») загальною площею 587,40 </w:t>
      </w:r>
      <w:proofErr w:type="spellStart"/>
      <w:r w:rsidRPr="00733855">
        <w:rPr>
          <w:bCs/>
          <w:szCs w:val="28"/>
          <w:shd w:val="clear" w:color="auto" w:fill="FFFFFF"/>
        </w:rPr>
        <w:t>кв.м</w:t>
      </w:r>
      <w:proofErr w:type="spellEnd"/>
      <w:r w:rsidRPr="00733855">
        <w:rPr>
          <w:bCs/>
          <w:szCs w:val="28"/>
          <w:shd w:val="clear" w:color="auto" w:fill="FFFFFF"/>
        </w:rPr>
        <w:t>.;</w:t>
      </w:r>
    </w:p>
    <w:p w14:paraId="0A605DFD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пульту управління літ. «П»;</w:t>
      </w:r>
    </w:p>
    <w:p w14:paraId="2E026BB5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пульту управління літ. «Р»;</w:t>
      </w:r>
    </w:p>
    <w:p w14:paraId="2DEAD7F5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вбиральні літ. «Л»;</w:t>
      </w:r>
    </w:p>
    <w:p w14:paraId="256BA1FE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навісу літ. «М»;</w:t>
      </w:r>
    </w:p>
    <w:p w14:paraId="2D325026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гаража літ. «О»;</w:t>
      </w:r>
    </w:p>
    <w:p w14:paraId="7E398CD8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споруд №1-4;</w:t>
      </w:r>
    </w:p>
    <w:p w14:paraId="00DD2429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очисної споруди ІІ;</w:t>
      </w:r>
    </w:p>
    <w:p w14:paraId="3EC0E122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очисної споруди ІІІ;</w:t>
      </w:r>
    </w:p>
    <w:p w14:paraId="08899D96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замощення VІ;</w:t>
      </w:r>
    </w:p>
    <w:p w14:paraId="226F4655" w14:textId="77777777" w:rsidR="00024A94" w:rsidRPr="00733855" w:rsidRDefault="00024A94" w:rsidP="00024A94">
      <w:pPr>
        <w:pStyle w:val="a3"/>
        <w:numPr>
          <w:ilvl w:val="0"/>
          <w:numId w:val="4"/>
        </w:numPr>
        <w:ind w:left="0" w:firstLine="425"/>
        <w:jc w:val="left"/>
        <w:rPr>
          <w:szCs w:val="28"/>
        </w:rPr>
      </w:pPr>
      <w:r w:rsidRPr="00733855">
        <w:rPr>
          <w:bCs/>
          <w:szCs w:val="28"/>
          <w:shd w:val="clear" w:color="auto" w:fill="FFFFFF"/>
        </w:rPr>
        <w:t>замощення VІІ.</w:t>
      </w:r>
    </w:p>
    <w:p w14:paraId="61B40D08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3224F494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246ABA" w:rsidRPr="00733855">
        <w:rPr>
          <w:rFonts w:eastAsia="Calibri"/>
          <w:bCs/>
          <w:sz w:val="28"/>
          <w:szCs w:val="28"/>
          <w:lang w:val="uk-UA" w:eastAsia="en-US"/>
        </w:rPr>
        <w:t>Мукачівське міське комунальне підприємство «Ремонтно-будівельне управління»</w:t>
      </w:r>
      <w:r w:rsidRPr="00733855">
        <w:rPr>
          <w:sz w:val="28"/>
          <w:szCs w:val="28"/>
          <w:shd w:val="clear" w:color="auto" w:fill="FFFFFF"/>
          <w:lang w:val="uk-UA"/>
        </w:rPr>
        <w:t>.</w:t>
      </w:r>
      <w:r w:rsidRPr="00733855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4DAD21E9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733855">
        <w:rPr>
          <w:rFonts w:eastAsia="Calibri"/>
          <w:sz w:val="28"/>
          <w:szCs w:val="28"/>
          <w:lang w:val="uk-UA" w:eastAsia="en-US"/>
        </w:rPr>
        <w:t xml:space="preserve">: </w:t>
      </w:r>
      <w:r w:rsidRPr="00733855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733855">
        <w:rPr>
          <w:sz w:val="28"/>
          <w:szCs w:val="28"/>
          <w:shd w:val="clear" w:color="auto" w:fill="FFFFFF"/>
        </w:rPr>
        <w:t>Україна</w:t>
      </w:r>
      <w:proofErr w:type="spellEnd"/>
      <w:r w:rsidRPr="007338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33855">
        <w:rPr>
          <w:sz w:val="28"/>
          <w:szCs w:val="28"/>
          <w:shd w:val="clear" w:color="auto" w:fill="FFFFFF"/>
        </w:rPr>
        <w:t>Мукачев</w:t>
      </w:r>
      <w:proofErr w:type="spellEnd"/>
      <w:r w:rsidRPr="00733855">
        <w:rPr>
          <w:sz w:val="28"/>
          <w:szCs w:val="28"/>
          <w:shd w:val="clear" w:color="auto" w:fill="FFFFFF"/>
          <w:lang w:val="uk-UA"/>
        </w:rPr>
        <w:t>о</w:t>
      </w:r>
      <w:r w:rsidRPr="00733855">
        <w:rPr>
          <w:sz w:val="28"/>
          <w:szCs w:val="28"/>
          <w:shd w:val="clear" w:color="auto" w:fill="FFFFFF"/>
        </w:rPr>
        <w:t xml:space="preserve">, </w:t>
      </w:r>
      <w:r w:rsidR="00246ABA" w:rsidRPr="00733855">
        <w:rPr>
          <w:sz w:val="28"/>
          <w:szCs w:val="28"/>
          <w:shd w:val="clear" w:color="auto" w:fill="FFFFFF"/>
          <w:lang w:val="uk-UA"/>
        </w:rPr>
        <w:t>вул. Ужгородська, 17А</w:t>
      </w:r>
      <w:r w:rsidRPr="00733855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24530BAB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733855">
        <w:rPr>
          <w:rFonts w:eastAsia="Calibri"/>
          <w:sz w:val="28"/>
          <w:szCs w:val="28"/>
          <w:lang w:val="uk-UA" w:eastAsia="en-US"/>
        </w:rPr>
        <w:t xml:space="preserve">: </w:t>
      </w:r>
      <w:r w:rsidR="00246ABA" w:rsidRPr="00733855">
        <w:rPr>
          <w:rFonts w:eastAsia="Calibri"/>
          <w:sz w:val="28"/>
          <w:szCs w:val="28"/>
          <w:lang w:val="uk-UA" w:eastAsia="en-US"/>
        </w:rPr>
        <w:t>34850918.</w:t>
      </w:r>
      <w:r w:rsidRPr="00733855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5FB35251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="00246ABA" w:rsidRPr="00733855">
        <w:rPr>
          <w:rFonts w:eastAsia="Calibri"/>
          <w:bCs/>
          <w:sz w:val="28"/>
          <w:szCs w:val="28"/>
          <w:lang w:val="en-US" w:eastAsia="en-US"/>
        </w:rPr>
        <w:t>mmkprbu</w:t>
      </w:r>
      <w:r w:rsidR="00246ABA" w:rsidRPr="00733855">
        <w:rPr>
          <w:rFonts w:eastAsia="Calibri"/>
          <w:bCs/>
          <w:sz w:val="28"/>
          <w:szCs w:val="28"/>
          <w:lang w:eastAsia="en-US"/>
        </w:rPr>
        <w:t>34850918</w:t>
      </w:r>
      <w:r w:rsidRPr="00733855">
        <w:rPr>
          <w:rFonts w:eastAsia="Calibri"/>
          <w:sz w:val="28"/>
          <w:szCs w:val="28"/>
          <w:lang w:val="uk-UA" w:eastAsia="en-US"/>
        </w:rPr>
        <w:t>@</w:t>
      </w:r>
      <w:r w:rsidR="00246ABA" w:rsidRPr="00733855">
        <w:rPr>
          <w:rFonts w:eastAsia="Calibri"/>
          <w:sz w:val="28"/>
          <w:szCs w:val="28"/>
          <w:lang w:val="en-US" w:eastAsia="en-US"/>
        </w:rPr>
        <w:t>ukr</w:t>
      </w:r>
      <w:r w:rsidR="00246ABA" w:rsidRPr="00733855">
        <w:rPr>
          <w:rFonts w:eastAsia="Calibri"/>
          <w:sz w:val="28"/>
          <w:szCs w:val="28"/>
          <w:lang w:eastAsia="en-US"/>
        </w:rPr>
        <w:t>.</w:t>
      </w:r>
      <w:r w:rsidR="00246ABA" w:rsidRPr="00733855">
        <w:rPr>
          <w:rFonts w:eastAsia="Calibri"/>
          <w:sz w:val="28"/>
          <w:szCs w:val="28"/>
          <w:lang w:val="en-US" w:eastAsia="en-US"/>
        </w:rPr>
        <w:t>net</w:t>
      </w:r>
    </w:p>
    <w:p w14:paraId="13FDE76E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733855">
        <w:rPr>
          <w:rFonts w:eastAsia="Calibri"/>
          <w:sz w:val="28"/>
          <w:szCs w:val="28"/>
          <w:lang w:val="uk-UA" w:eastAsia="en-US"/>
        </w:rPr>
        <w:t xml:space="preserve">: 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4A1DFAC5" w14:textId="0D1E710D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Дата та час проведення аукціону з умовами: </w:t>
      </w:r>
      <w:r w:rsidR="00733855"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="00733855"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 w:rsidR="00733855">
        <w:rPr>
          <w:rFonts w:eastAsia="Calibri"/>
          <w:sz w:val="28"/>
          <w:szCs w:val="28"/>
          <w:lang w:val="uk-UA" w:eastAsia="en-US"/>
        </w:rPr>
        <w:t>, а саме «</w:t>
      </w:r>
      <w:r w:rsidR="007801AD">
        <w:rPr>
          <w:rFonts w:eastAsia="Calibri"/>
          <w:sz w:val="28"/>
          <w:szCs w:val="28"/>
          <w:lang w:val="uk-UA" w:eastAsia="en-US"/>
        </w:rPr>
        <w:t>21</w:t>
      </w:r>
      <w:r w:rsidR="00733855">
        <w:rPr>
          <w:rFonts w:eastAsia="Calibri"/>
          <w:sz w:val="28"/>
          <w:szCs w:val="28"/>
          <w:lang w:val="uk-UA" w:eastAsia="en-US"/>
        </w:rPr>
        <w:t>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 w:rsidR="00733855"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 w:rsidR="00733855"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733855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733855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0A1548DE" w14:textId="77777777" w:rsidR="00DD13BB" w:rsidRPr="00733855" w:rsidRDefault="00DD13BB" w:rsidP="00DD13BB">
      <w:pPr>
        <w:ind w:firstLine="426"/>
        <w:jc w:val="both"/>
        <w:rPr>
          <w:sz w:val="28"/>
          <w:szCs w:val="28"/>
          <w:lang w:val="uk-UA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 xml:space="preserve">без 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ПДВ) для продажу на аукціоні з умовами: </w:t>
      </w:r>
      <w:r>
        <w:rPr>
          <w:sz w:val="28"/>
          <w:szCs w:val="28"/>
          <w:lang w:val="uk-UA"/>
        </w:rPr>
        <w:t>4372500</w:t>
      </w:r>
      <w:r w:rsidRPr="00733855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 xml:space="preserve">чотири </w:t>
      </w:r>
      <w:r w:rsidRPr="00733855">
        <w:rPr>
          <w:sz w:val="28"/>
          <w:szCs w:val="28"/>
          <w:lang w:val="uk-UA"/>
        </w:rPr>
        <w:t xml:space="preserve">мільйона </w:t>
      </w:r>
      <w:r>
        <w:rPr>
          <w:sz w:val="28"/>
          <w:szCs w:val="28"/>
          <w:lang w:val="uk-UA"/>
        </w:rPr>
        <w:t xml:space="preserve">триста сімдесят дві </w:t>
      </w:r>
      <w:r w:rsidRPr="00733855">
        <w:rPr>
          <w:sz w:val="28"/>
          <w:szCs w:val="28"/>
          <w:lang w:val="uk-UA"/>
        </w:rPr>
        <w:t>тисяч</w:t>
      </w:r>
      <w:r>
        <w:rPr>
          <w:sz w:val="28"/>
          <w:szCs w:val="28"/>
          <w:lang w:val="uk-UA"/>
        </w:rPr>
        <w:t>і</w:t>
      </w:r>
      <w:r w:rsidRPr="00733855">
        <w:rPr>
          <w:sz w:val="28"/>
          <w:szCs w:val="28"/>
          <w:lang w:val="uk-UA"/>
        </w:rPr>
        <w:t xml:space="preserve"> п'ятсот </w:t>
      </w:r>
      <w:r>
        <w:rPr>
          <w:sz w:val="28"/>
          <w:szCs w:val="28"/>
          <w:lang w:val="uk-UA"/>
        </w:rPr>
        <w:t xml:space="preserve">гривень </w:t>
      </w:r>
      <w:proofErr w:type="spellStart"/>
      <w:r>
        <w:rPr>
          <w:sz w:val="28"/>
          <w:szCs w:val="28"/>
          <w:lang w:val="uk-UA"/>
        </w:rPr>
        <w:t>гривень</w:t>
      </w:r>
      <w:proofErr w:type="spellEnd"/>
      <w:r>
        <w:rPr>
          <w:sz w:val="28"/>
          <w:szCs w:val="28"/>
          <w:lang w:val="uk-UA"/>
        </w:rPr>
        <w:t xml:space="preserve"> 00 коп.)</w:t>
      </w:r>
      <w:r w:rsidRPr="00733855">
        <w:rPr>
          <w:sz w:val="28"/>
          <w:szCs w:val="28"/>
          <w:lang w:val="uk-UA"/>
        </w:rPr>
        <w:t xml:space="preserve">. </w:t>
      </w:r>
    </w:p>
    <w:p w14:paraId="6D991675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437250,00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733855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24FF6DFB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 xml:space="preserve">без 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2186250</w:t>
      </w:r>
      <w:r w:rsidRPr="00733855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733855">
        <w:rPr>
          <w:rFonts w:eastAsia="Calibri"/>
          <w:bCs/>
          <w:sz w:val="28"/>
          <w:szCs w:val="28"/>
          <w:lang w:val="uk-UA" w:eastAsia="en-US"/>
        </w:rPr>
        <w:t>0 грн.</w:t>
      </w:r>
      <w:r w:rsidRPr="00733855">
        <w:rPr>
          <w:rFonts w:eastAsia="Calibri"/>
          <w:sz w:val="28"/>
          <w:szCs w:val="28"/>
          <w:lang w:val="uk-UA" w:eastAsia="en-US"/>
        </w:rPr>
        <w:t xml:space="preserve"> (два мільйони </w:t>
      </w:r>
      <w:r>
        <w:rPr>
          <w:rFonts w:eastAsia="Calibri"/>
          <w:sz w:val="28"/>
          <w:szCs w:val="28"/>
          <w:lang w:val="uk-UA" w:eastAsia="en-US"/>
        </w:rPr>
        <w:t>сто вісімдесят шість тисяч двісті</w:t>
      </w:r>
      <w:r w:rsidRPr="0073385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5D38D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ятдесят г</w:t>
      </w:r>
      <w:r w:rsidRPr="00733855">
        <w:rPr>
          <w:rFonts w:eastAsia="Calibri"/>
          <w:sz w:val="28"/>
          <w:szCs w:val="28"/>
          <w:lang w:val="uk-UA" w:eastAsia="en-US"/>
        </w:rPr>
        <w:t xml:space="preserve">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733855">
        <w:rPr>
          <w:rFonts w:eastAsia="Calibri"/>
          <w:sz w:val="28"/>
          <w:szCs w:val="28"/>
          <w:lang w:val="uk-UA" w:eastAsia="en-US"/>
        </w:rPr>
        <w:t>0 коп.).</w:t>
      </w:r>
    </w:p>
    <w:p w14:paraId="762B0A2D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Розмір гарантійного внеску: 2</w:t>
      </w:r>
      <w:r>
        <w:rPr>
          <w:rFonts w:eastAsia="Calibri"/>
          <w:bCs/>
          <w:sz w:val="28"/>
          <w:szCs w:val="28"/>
          <w:lang w:val="uk-UA" w:eastAsia="en-US"/>
        </w:rPr>
        <w:t>18625</w:t>
      </w:r>
      <w:r w:rsidRPr="00733855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733855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6C3251F0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2186250</w:t>
      </w:r>
      <w:r w:rsidRPr="00733855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733855">
        <w:rPr>
          <w:rFonts w:eastAsia="Calibri"/>
          <w:bCs/>
          <w:sz w:val="28"/>
          <w:szCs w:val="28"/>
          <w:lang w:val="uk-UA" w:eastAsia="en-US"/>
        </w:rPr>
        <w:t>0 грн.</w:t>
      </w:r>
      <w:r w:rsidRPr="00733855">
        <w:rPr>
          <w:rFonts w:eastAsia="Calibri"/>
          <w:sz w:val="28"/>
          <w:szCs w:val="28"/>
          <w:lang w:val="uk-UA" w:eastAsia="en-US"/>
        </w:rPr>
        <w:t xml:space="preserve"> (два мільйони </w:t>
      </w:r>
      <w:r>
        <w:rPr>
          <w:rFonts w:eastAsia="Calibri"/>
          <w:sz w:val="28"/>
          <w:szCs w:val="28"/>
          <w:lang w:val="uk-UA" w:eastAsia="en-US"/>
        </w:rPr>
        <w:t>сто вісімдесят шість тисяч двісті</w:t>
      </w:r>
      <w:r w:rsidRPr="0073385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5D38D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ятдесят г</w:t>
      </w:r>
      <w:r w:rsidRPr="00733855">
        <w:rPr>
          <w:rFonts w:eastAsia="Calibri"/>
          <w:sz w:val="28"/>
          <w:szCs w:val="28"/>
          <w:lang w:val="uk-UA" w:eastAsia="en-US"/>
        </w:rPr>
        <w:t xml:space="preserve">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733855">
        <w:rPr>
          <w:rFonts w:eastAsia="Calibri"/>
          <w:sz w:val="28"/>
          <w:szCs w:val="28"/>
          <w:lang w:val="uk-UA" w:eastAsia="en-US"/>
        </w:rPr>
        <w:t>0 коп.).</w:t>
      </w:r>
    </w:p>
    <w:p w14:paraId="617E4C1D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Розмір гарантійного внеску: 2</w:t>
      </w:r>
      <w:r>
        <w:rPr>
          <w:rFonts w:eastAsia="Calibri"/>
          <w:bCs/>
          <w:sz w:val="28"/>
          <w:szCs w:val="28"/>
          <w:lang w:val="uk-UA" w:eastAsia="en-US"/>
        </w:rPr>
        <w:t>18625</w:t>
      </w:r>
      <w:r w:rsidRPr="00733855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733855">
        <w:rPr>
          <w:rFonts w:eastAsia="Calibri"/>
          <w:sz w:val="28"/>
          <w:szCs w:val="28"/>
          <w:lang w:val="uk-UA" w:eastAsia="en-US"/>
        </w:rPr>
        <w:t xml:space="preserve"> грн.</w:t>
      </w:r>
    </w:p>
    <w:p w14:paraId="453ACBFA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Розмір реєстраційного внеску: 834,60</w:t>
      </w:r>
      <w:r w:rsidRPr="00733855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7BB00EAF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2C3039C0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1243D10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43725</w:t>
      </w:r>
      <w:r w:rsidRPr="00733855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733855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76475F22" w14:textId="77777777" w:rsidR="00DD13BB" w:rsidRPr="00733855" w:rsidRDefault="00DD13BB" w:rsidP="00DD13B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21862,50</w:t>
      </w:r>
      <w:r w:rsidRPr="00733855">
        <w:rPr>
          <w:rFonts w:eastAsia="Calibri"/>
          <w:sz w:val="28"/>
          <w:szCs w:val="28"/>
          <w:lang w:val="uk-UA" w:eastAsia="en-US"/>
        </w:rPr>
        <w:t xml:space="preserve"> грн. (1% від стартової ціни аукціону). </w:t>
      </w:r>
    </w:p>
    <w:p w14:paraId="4ED05F67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05F0561C" w14:textId="77777777" w:rsidR="00CC5296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70242F8F" w14:textId="77777777" w:rsidR="00CC5296" w:rsidRPr="00733855" w:rsidRDefault="00CC5296" w:rsidP="00CC52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3741746A" w14:textId="77777777" w:rsidR="00CC5296" w:rsidRPr="00D43ABC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651BDCE6" w14:textId="77777777" w:rsidR="00CC5296" w:rsidRPr="00D43ABC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78F64DF3" w14:textId="77777777" w:rsidR="00CC5296" w:rsidRPr="00FC76A9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1C1960C9" w14:textId="77777777" w:rsidR="00CC5296" w:rsidRPr="00FC76A9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14A2BC17" w14:textId="77777777" w:rsidR="00CC5296" w:rsidRPr="00FC76A9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42167341" w14:textId="77777777" w:rsidR="00CC5296" w:rsidRPr="00FC76A9" w:rsidRDefault="00CC5296" w:rsidP="00CC529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72506797" w14:textId="77777777" w:rsidR="00CC5296" w:rsidRPr="00FC76A9" w:rsidRDefault="00CC5296" w:rsidP="00CC52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3B8A27C" w14:textId="77777777" w:rsidR="00246ABA" w:rsidRPr="00733855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733855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346445B4" w14:textId="77777777" w:rsidR="00246ABA" w:rsidRPr="00733855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3855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733855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5D2D22D" w14:textId="77777777" w:rsidR="00246ABA" w:rsidRPr="00733855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3855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3D5BC47" w14:textId="77777777" w:rsidR="00246ABA" w:rsidRPr="00733855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733855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733855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73385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733855">
        <w:rPr>
          <w:rFonts w:eastAsia="Calibri"/>
          <w:sz w:val="28"/>
          <w:szCs w:val="28"/>
          <w:lang w:val="uk-UA" w:eastAsia="en-US"/>
        </w:rPr>
        <w:t>. 0662165628.</w:t>
      </w:r>
    </w:p>
    <w:p w14:paraId="31826588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</w:t>
      </w:r>
      <w:r w:rsidRPr="00733855">
        <w:rPr>
          <w:rFonts w:eastAsia="Calibri"/>
          <w:sz w:val="28"/>
          <w:szCs w:val="28"/>
          <w:lang w:val="uk-UA" w:eastAsia="en-US"/>
        </w:rPr>
        <w:lastRenderedPageBreak/>
        <w:t xml:space="preserve">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733855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733855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733855">
        <w:rPr>
          <w:rFonts w:eastAsia="Calibri"/>
          <w:sz w:val="28"/>
          <w:szCs w:val="28"/>
          <w:lang w:val="uk-UA" w:eastAsia="en-US"/>
        </w:rPr>
        <w:t xml:space="preserve"> </w:t>
      </w:r>
      <w:r w:rsidRPr="00733855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733855" w:rsidRDefault="00225CE8" w:rsidP="00225CE8">
      <w:pPr>
        <w:rPr>
          <w:b/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Рахунок №:</w:t>
      </w:r>
      <w:r w:rsidRPr="00733855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Банк одержувача:</w:t>
      </w:r>
      <w:r w:rsidRPr="00733855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733855" w:rsidRDefault="00225CE8" w:rsidP="00225CE8">
      <w:pPr>
        <w:rPr>
          <w:b/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Код ЄДРПОУ</w:t>
      </w:r>
      <w:r w:rsidRPr="00733855">
        <w:rPr>
          <w:sz w:val="28"/>
          <w:szCs w:val="28"/>
          <w:lang w:val="uk-UA"/>
        </w:rPr>
        <w:t>: 41242244</w:t>
      </w:r>
    </w:p>
    <w:p w14:paraId="5AAEB1B1" w14:textId="77777777" w:rsidR="00225CE8" w:rsidRPr="00733855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733855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733855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733855" w:rsidRDefault="00225CE8" w:rsidP="00225CE8">
      <w:pPr>
        <w:rPr>
          <w:b/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Рахунок №:</w:t>
      </w:r>
      <w:r w:rsidRPr="00733855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Банк одержувача:</w:t>
      </w:r>
      <w:r w:rsidRPr="00733855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733855" w:rsidRDefault="00225CE8" w:rsidP="00225CE8">
      <w:pPr>
        <w:rPr>
          <w:b/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Код ЄДРПОУ</w:t>
      </w:r>
      <w:r w:rsidRPr="00733855">
        <w:rPr>
          <w:sz w:val="28"/>
          <w:szCs w:val="28"/>
          <w:lang w:val="uk-UA"/>
        </w:rPr>
        <w:t>: 41242244</w:t>
      </w:r>
    </w:p>
    <w:p w14:paraId="6A8BAFB2" w14:textId="77777777" w:rsidR="00225CE8" w:rsidRPr="00733855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733855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733855">
        <w:rPr>
          <w:rFonts w:eastAsia="Calibri"/>
          <w:sz w:val="28"/>
          <w:szCs w:val="28"/>
          <w:lang w:val="uk-UA" w:eastAsia="en-US"/>
        </w:rPr>
        <w:t>сум</w:t>
      </w:r>
      <w:r w:rsidR="00A60A31" w:rsidRPr="00733855">
        <w:rPr>
          <w:rFonts w:eastAsia="Calibri"/>
          <w:sz w:val="28"/>
          <w:szCs w:val="28"/>
          <w:lang w:val="uk-UA" w:eastAsia="en-US"/>
        </w:rPr>
        <w:t>у</w:t>
      </w:r>
      <w:r w:rsidR="00225CE8" w:rsidRPr="00733855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733855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733855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733855">
        <w:rPr>
          <w:rFonts w:eastAsia="Calibri"/>
          <w:sz w:val="28"/>
          <w:szCs w:val="28"/>
          <w:lang w:val="uk-UA" w:eastAsia="en-US"/>
        </w:rPr>
        <w:t>ого</w:t>
      </w:r>
      <w:r w:rsidR="00225CE8" w:rsidRPr="00733855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733855">
        <w:rPr>
          <w:rFonts w:eastAsia="Calibri"/>
          <w:sz w:val="28"/>
          <w:szCs w:val="28"/>
          <w:lang w:val="uk-UA" w:eastAsia="en-US"/>
        </w:rPr>
        <w:t>у</w:t>
      </w:r>
      <w:r w:rsidR="00225CE8" w:rsidRPr="00733855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</w:t>
      </w:r>
      <w:r w:rsidR="00225CE8" w:rsidRPr="00733855">
        <w:rPr>
          <w:rFonts w:eastAsia="Calibri"/>
          <w:sz w:val="28"/>
          <w:szCs w:val="28"/>
          <w:lang w:val="uk-UA" w:eastAsia="en-US"/>
        </w:rPr>
        <w:lastRenderedPageBreak/>
        <w:t xml:space="preserve">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733855" w:rsidRDefault="00225CE8" w:rsidP="00225CE8">
      <w:pPr>
        <w:rPr>
          <w:b/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Рахунок №:</w:t>
      </w:r>
      <w:r w:rsidRPr="00733855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Банк одержувача:</w:t>
      </w:r>
      <w:r w:rsidRPr="00733855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733855" w:rsidRDefault="00225CE8" w:rsidP="00225CE8">
      <w:pPr>
        <w:rPr>
          <w:b/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733855" w:rsidRDefault="00225CE8" w:rsidP="00225CE8">
      <w:pPr>
        <w:rPr>
          <w:sz w:val="28"/>
          <w:szCs w:val="28"/>
          <w:lang w:val="uk-UA"/>
        </w:rPr>
      </w:pPr>
      <w:r w:rsidRPr="00733855">
        <w:rPr>
          <w:b/>
          <w:sz w:val="28"/>
          <w:szCs w:val="28"/>
          <w:lang w:val="uk-UA"/>
        </w:rPr>
        <w:t>Код ЄДРПОУ</w:t>
      </w:r>
      <w:r w:rsidRPr="00733855">
        <w:rPr>
          <w:sz w:val="28"/>
          <w:szCs w:val="28"/>
          <w:lang w:val="uk-UA"/>
        </w:rPr>
        <w:t>: 41242244</w:t>
      </w:r>
    </w:p>
    <w:p w14:paraId="20EEDC5B" w14:textId="77777777" w:rsidR="00225CE8" w:rsidRPr="00733855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733855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733855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733855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733855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733855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733855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733855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34206FD8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88AD64C" w14:textId="054F7E0B" w:rsidR="0045308C" w:rsidRPr="00733855" w:rsidRDefault="0045308C" w:rsidP="0045308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733855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CC5296">
        <w:rPr>
          <w:rFonts w:eastAsia="Calibri"/>
          <w:bCs/>
          <w:sz w:val="28"/>
          <w:szCs w:val="28"/>
          <w:lang w:val="uk-UA" w:eastAsia="en-US"/>
        </w:rPr>
        <w:t>погодження</w:t>
      </w:r>
      <w:r w:rsidRPr="00733855">
        <w:rPr>
          <w:rFonts w:eastAsia="Calibri"/>
          <w:bCs/>
          <w:sz w:val="28"/>
          <w:szCs w:val="28"/>
          <w:lang w:val="uk-UA" w:eastAsia="en-US"/>
        </w:rPr>
        <w:t xml:space="preserve"> умов продажу об’єкта малої приватизації за </w:t>
      </w:r>
      <w:proofErr w:type="spellStart"/>
      <w:r w:rsidRPr="00733855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733855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733855">
        <w:rPr>
          <w:sz w:val="28"/>
          <w:szCs w:val="28"/>
          <w:lang w:val="uk-UA"/>
        </w:rPr>
        <w:t xml:space="preserve">м. Мукачево, вул. </w:t>
      </w:r>
      <w:proofErr w:type="spellStart"/>
      <w:r w:rsidRPr="00733855">
        <w:rPr>
          <w:sz w:val="28"/>
          <w:szCs w:val="28"/>
          <w:lang w:val="uk-UA"/>
        </w:rPr>
        <w:t>Шерегіїв</w:t>
      </w:r>
      <w:proofErr w:type="spellEnd"/>
      <w:r w:rsidRPr="00733855">
        <w:rPr>
          <w:sz w:val="28"/>
          <w:szCs w:val="28"/>
          <w:lang w:val="uk-UA"/>
        </w:rPr>
        <w:t xml:space="preserve"> братів, 11</w:t>
      </w:r>
      <w:r w:rsidR="00DD13BB">
        <w:rPr>
          <w:sz w:val="28"/>
          <w:szCs w:val="28"/>
          <w:lang w:val="uk-UA"/>
        </w:rPr>
        <w:t>А</w:t>
      </w:r>
      <w:r w:rsidRPr="00733855">
        <w:rPr>
          <w:sz w:val="28"/>
          <w:szCs w:val="28"/>
          <w:lang w:val="uk-UA"/>
        </w:rPr>
        <w:t xml:space="preserve">" №___ від </w:t>
      </w:r>
      <w:r w:rsidR="00CC5296">
        <w:rPr>
          <w:sz w:val="28"/>
          <w:szCs w:val="28"/>
          <w:lang w:val="uk-UA"/>
        </w:rPr>
        <w:t>28</w:t>
      </w:r>
      <w:r w:rsidRPr="00733855">
        <w:rPr>
          <w:sz w:val="28"/>
          <w:szCs w:val="28"/>
          <w:lang w:val="uk-UA"/>
        </w:rPr>
        <w:t>.11.2019р.</w:t>
      </w:r>
    </w:p>
    <w:p w14:paraId="1E8230FB" w14:textId="77777777" w:rsidR="005B3151" w:rsidRPr="0073385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</w:t>
      </w:r>
      <w:r w:rsidRPr="00733855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право використовувати електронний майданчик і з якими адміністратор уклав відповідний договір: </w:t>
      </w:r>
      <w:hyperlink r:id="rId6" w:history="1">
        <w:r w:rsidRPr="00733855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733855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733855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B3151" w:rsidRPr="00733855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46AB3"/>
    <w:rsid w:val="00081F21"/>
    <w:rsid w:val="00093F11"/>
    <w:rsid w:val="000D2198"/>
    <w:rsid w:val="00166E0A"/>
    <w:rsid w:val="001A2A8B"/>
    <w:rsid w:val="001C3D3D"/>
    <w:rsid w:val="001C75FF"/>
    <w:rsid w:val="00225CE8"/>
    <w:rsid w:val="002323CE"/>
    <w:rsid w:val="00246ABA"/>
    <w:rsid w:val="0027489A"/>
    <w:rsid w:val="002954F9"/>
    <w:rsid w:val="00306B8C"/>
    <w:rsid w:val="00307010"/>
    <w:rsid w:val="00315E20"/>
    <w:rsid w:val="003329E0"/>
    <w:rsid w:val="003723B3"/>
    <w:rsid w:val="00390D5A"/>
    <w:rsid w:val="00390EF9"/>
    <w:rsid w:val="003E73DF"/>
    <w:rsid w:val="0041777A"/>
    <w:rsid w:val="00422059"/>
    <w:rsid w:val="00426591"/>
    <w:rsid w:val="00436857"/>
    <w:rsid w:val="004426D7"/>
    <w:rsid w:val="0045308C"/>
    <w:rsid w:val="004A649E"/>
    <w:rsid w:val="004B6E2C"/>
    <w:rsid w:val="004F37BC"/>
    <w:rsid w:val="00513810"/>
    <w:rsid w:val="005263D5"/>
    <w:rsid w:val="00527E01"/>
    <w:rsid w:val="00567710"/>
    <w:rsid w:val="005A00E2"/>
    <w:rsid w:val="005A7962"/>
    <w:rsid w:val="005B3151"/>
    <w:rsid w:val="005B68A4"/>
    <w:rsid w:val="005D38DE"/>
    <w:rsid w:val="005F07BB"/>
    <w:rsid w:val="005F51EA"/>
    <w:rsid w:val="00605B71"/>
    <w:rsid w:val="0067105D"/>
    <w:rsid w:val="00674BE2"/>
    <w:rsid w:val="006A504C"/>
    <w:rsid w:val="006B5EA0"/>
    <w:rsid w:val="006C1B67"/>
    <w:rsid w:val="006E1081"/>
    <w:rsid w:val="0071419D"/>
    <w:rsid w:val="00733855"/>
    <w:rsid w:val="007654BB"/>
    <w:rsid w:val="007766B5"/>
    <w:rsid w:val="00777EB5"/>
    <w:rsid w:val="007801AD"/>
    <w:rsid w:val="00787C42"/>
    <w:rsid w:val="007A5DB2"/>
    <w:rsid w:val="007C4047"/>
    <w:rsid w:val="007D2670"/>
    <w:rsid w:val="008016FA"/>
    <w:rsid w:val="00811240"/>
    <w:rsid w:val="008153F4"/>
    <w:rsid w:val="008354EE"/>
    <w:rsid w:val="00841EB2"/>
    <w:rsid w:val="008934B8"/>
    <w:rsid w:val="00895910"/>
    <w:rsid w:val="008B1BE5"/>
    <w:rsid w:val="008B76F6"/>
    <w:rsid w:val="008E62DF"/>
    <w:rsid w:val="00924C14"/>
    <w:rsid w:val="009312F9"/>
    <w:rsid w:val="00937E7B"/>
    <w:rsid w:val="00984AC7"/>
    <w:rsid w:val="009B3E9E"/>
    <w:rsid w:val="009C0BD1"/>
    <w:rsid w:val="009C41FC"/>
    <w:rsid w:val="009E78A8"/>
    <w:rsid w:val="009F42F0"/>
    <w:rsid w:val="00A05648"/>
    <w:rsid w:val="00A50369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4C0D"/>
    <w:rsid w:val="00B96400"/>
    <w:rsid w:val="00BB4916"/>
    <w:rsid w:val="00BD0A17"/>
    <w:rsid w:val="00BD15E3"/>
    <w:rsid w:val="00BD75DF"/>
    <w:rsid w:val="00C639BC"/>
    <w:rsid w:val="00C74A62"/>
    <w:rsid w:val="00CA4764"/>
    <w:rsid w:val="00CB5E98"/>
    <w:rsid w:val="00CC5296"/>
    <w:rsid w:val="00CF64E4"/>
    <w:rsid w:val="00D00EEE"/>
    <w:rsid w:val="00D43ABC"/>
    <w:rsid w:val="00DA10D4"/>
    <w:rsid w:val="00DB3E1A"/>
    <w:rsid w:val="00DC3951"/>
    <w:rsid w:val="00DC7647"/>
    <w:rsid w:val="00DD13BB"/>
    <w:rsid w:val="00DD6D48"/>
    <w:rsid w:val="00E31126"/>
    <w:rsid w:val="00E878F0"/>
    <w:rsid w:val="00EA177B"/>
    <w:rsid w:val="00EA3608"/>
    <w:rsid w:val="00EA7BF0"/>
    <w:rsid w:val="00EF16EE"/>
    <w:rsid w:val="00F14E64"/>
    <w:rsid w:val="00F31A6A"/>
    <w:rsid w:val="00F66930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AAA5-9F18-4F5D-9B7B-FCC7853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7675</Words>
  <Characters>4376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19</cp:revision>
  <cp:lastPrinted>2019-11-27T10:17:00Z</cp:lastPrinted>
  <dcterms:created xsi:type="dcterms:W3CDTF">2019-11-18T10:26:00Z</dcterms:created>
  <dcterms:modified xsi:type="dcterms:W3CDTF">2019-11-28T15:15:00Z</dcterms:modified>
</cp:coreProperties>
</file>