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r w:rsidR="00530AEF">
        <w:rPr>
          <w:b/>
          <w:bCs/>
          <w:sz w:val="24"/>
          <w:szCs w:val="22"/>
          <w:lang w:val="uk-UA"/>
        </w:rPr>
        <w:t>Гетьмана Мазепи, 114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proofErr w:type="spellStart"/>
      <w:r w:rsidR="00783F2B">
        <w:rPr>
          <w:i/>
          <w:sz w:val="22"/>
          <w:szCs w:val="22"/>
          <w:lang w:val="uk-UA"/>
        </w:rPr>
        <w:t>Равлюк</w:t>
      </w:r>
      <w:proofErr w:type="spellEnd"/>
      <w:r w:rsidR="00783F2B">
        <w:rPr>
          <w:i/>
          <w:sz w:val="22"/>
          <w:szCs w:val="22"/>
          <w:lang w:val="uk-UA"/>
        </w:rPr>
        <w:t xml:space="preserve"> Богдан Ярославович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530AEF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530AEF" w:rsidRPr="00742B23">
        <w:rPr>
          <w:i/>
          <w:sz w:val="22"/>
          <w:szCs w:val="22"/>
          <w:lang w:val="uk-UA"/>
        </w:rPr>
        <w:t>Комунальне некомерційне підприємство «Центральна міська клінічна лікарня Івано-Франківської міської ради», 760</w:t>
      </w:r>
      <w:r w:rsidR="00530AEF">
        <w:rPr>
          <w:i/>
          <w:sz w:val="22"/>
          <w:szCs w:val="22"/>
          <w:lang w:val="uk-UA"/>
        </w:rPr>
        <w:t>25</w:t>
      </w:r>
      <w:r w:rsidR="00530AEF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530AEF" w:rsidRPr="00742B23">
        <w:rPr>
          <w:i/>
          <w:sz w:val="22"/>
          <w:szCs w:val="22"/>
          <w:lang w:val="uk-UA"/>
        </w:rPr>
        <w:t>м.Івано</w:t>
      </w:r>
      <w:proofErr w:type="spellEnd"/>
      <w:r w:rsidR="00530AEF" w:rsidRPr="00742B23">
        <w:rPr>
          <w:i/>
          <w:sz w:val="22"/>
          <w:szCs w:val="22"/>
          <w:lang w:val="uk-UA"/>
        </w:rPr>
        <w:t>-Франківськ, вул.</w:t>
      </w:r>
      <w:r w:rsidR="00530AEF">
        <w:rPr>
          <w:i/>
          <w:sz w:val="22"/>
          <w:szCs w:val="22"/>
          <w:lang w:val="uk-UA"/>
        </w:rPr>
        <w:t xml:space="preserve"> Гетьмана Мазепи, 114;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</w:t>
      </w:r>
      <w:r w:rsidR="00530AEF">
        <w:rPr>
          <w:i/>
          <w:sz w:val="22"/>
          <w:szCs w:val="22"/>
          <w:lang w:val="uk-UA"/>
        </w:rPr>
        <w:t>3745</w:t>
      </w:r>
      <w:r w:rsidR="00961AD4">
        <w:rPr>
          <w:i/>
          <w:sz w:val="22"/>
          <w:szCs w:val="22"/>
          <w:lang w:val="uk-UA"/>
        </w:rPr>
        <w:t xml:space="preserve"> від </w:t>
      </w:r>
      <w:r w:rsidR="00530AEF">
        <w:rPr>
          <w:i/>
          <w:sz w:val="22"/>
          <w:szCs w:val="22"/>
          <w:lang w:val="uk-UA"/>
        </w:rPr>
        <w:t>27.03.2015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530AEF">
        <w:rPr>
          <w:i/>
          <w:sz w:val="22"/>
          <w:szCs w:val="22"/>
          <w:lang w:val="uk-UA"/>
        </w:rPr>
        <w:t>Гетьмана</w:t>
      </w:r>
      <w:proofErr w:type="spellEnd"/>
      <w:r w:rsidR="00530AEF">
        <w:rPr>
          <w:i/>
          <w:sz w:val="22"/>
          <w:szCs w:val="22"/>
          <w:lang w:val="uk-UA"/>
        </w:rPr>
        <w:t xml:space="preserve"> Мазепи,114</w:t>
      </w:r>
      <w:r w:rsidR="00961AD4" w:rsidRPr="00961AD4">
        <w:rPr>
          <w:i/>
          <w:sz w:val="22"/>
          <w:szCs w:val="22"/>
          <w:lang w:val="uk-UA"/>
        </w:rPr>
        <w:t>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 w:rsidRPr="00783F2B">
        <w:rPr>
          <w:i/>
          <w:sz w:val="22"/>
          <w:szCs w:val="22"/>
          <w:lang w:val="uk-UA"/>
        </w:rPr>
        <w:t>частина</w:t>
      </w:r>
      <w:r w:rsidR="00783F2B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D03423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3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530AEF">
        <w:rPr>
          <w:rStyle w:val="rvts24"/>
          <w:i/>
          <w:sz w:val="22"/>
          <w:szCs w:val="22"/>
          <w:shd w:val="clear" w:color="auto" w:fill="FFFFFF"/>
          <w:lang w:val="uk-UA"/>
        </w:rPr>
        <w:t>в підвалі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r w:rsidR="00530AEF" w:rsidRPr="00742B23">
        <w:rPr>
          <w:i/>
          <w:sz w:val="22"/>
          <w:szCs w:val="22"/>
          <w:lang w:val="uk-UA"/>
        </w:rPr>
        <w:t>Центральна міська клінічна лікарня Івано-Франківської міської ради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F38B7">
        <w:rPr>
          <w:i/>
          <w:sz w:val="22"/>
          <w:szCs w:val="22"/>
          <w:lang w:val="uk-UA"/>
        </w:rPr>
        <w:t>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530AEF">
        <w:rPr>
          <w:i/>
          <w:sz w:val="22"/>
          <w:szCs w:val="22"/>
          <w:lang w:val="uk-UA"/>
        </w:rPr>
        <w:t>30220</w:t>
      </w:r>
      <w:r w:rsidR="009F38B7" w:rsidRPr="009F38B7">
        <w:rPr>
          <w:i/>
          <w:sz w:val="22"/>
          <w:szCs w:val="22"/>
          <w:lang w:val="uk-UA"/>
        </w:rPr>
        <w:t>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D03423">
        <w:rPr>
          <w:sz w:val="22"/>
          <w:szCs w:val="22"/>
          <w:lang w:val="uk-UA"/>
        </w:rPr>
        <w:t>не належить до</w:t>
      </w:r>
      <w:r w:rsidR="00E1155E" w:rsidRPr="00961AD4">
        <w:rPr>
          <w:sz w:val="22"/>
          <w:szCs w:val="22"/>
          <w:lang w:val="uk-UA"/>
        </w:rPr>
        <w:t xml:space="preserve"> пам’ят</w:t>
      </w:r>
      <w:r w:rsidR="00D03423">
        <w:rPr>
          <w:sz w:val="22"/>
          <w:szCs w:val="22"/>
          <w:lang w:val="uk-UA"/>
        </w:rPr>
        <w:t>ок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530AEF">
        <w:rPr>
          <w:i/>
          <w:sz w:val="22"/>
          <w:szCs w:val="22"/>
          <w:lang w:val="uk-UA"/>
        </w:rPr>
        <w:t>302</w:t>
      </w:r>
      <w:r w:rsidR="00D03423">
        <w:rPr>
          <w:i/>
          <w:sz w:val="22"/>
          <w:szCs w:val="22"/>
          <w:lang w:val="uk-UA"/>
        </w:rPr>
        <w:t>,20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530AEF">
        <w:rPr>
          <w:i/>
          <w:sz w:val="22"/>
          <w:szCs w:val="22"/>
          <w:lang w:val="uk-UA"/>
        </w:rPr>
        <w:t>151,10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530AEF">
        <w:rPr>
          <w:i/>
          <w:sz w:val="22"/>
          <w:szCs w:val="22"/>
          <w:lang w:val="uk-UA"/>
        </w:rPr>
        <w:t>151,10</w:t>
      </w:r>
      <w:r w:rsidR="00D03423">
        <w:rPr>
          <w:i/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530AEF">
        <w:rPr>
          <w:i/>
          <w:sz w:val="22"/>
          <w:szCs w:val="22"/>
          <w:lang w:val="uk-UA"/>
        </w:rPr>
        <w:t>1</w:t>
      </w:r>
      <w:r w:rsidR="00EA669B">
        <w:rPr>
          <w:i/>
          <w:sz w:val="22"/>
          <w:szCs w:val="22"/>
          <w:lang w:val="uk-UA"/>
        </w:rPr>
        <w:t>.</w:t>
      </w:r>
      <w:r w:rsidR="00530AEF">
        <w:rPr>
          <w:i/>
          <w:sz w:val="22"/>
          <w:szCs w:val="22"/>
          <w:lang w:val="uk-UA"/>
        </w:rPr>
        <w:t>12</w:t>
      </w:r>
      <w:r w:rsidR="00EA669B">
        <w:rPr>
          <w:i/>
          <w:sz w:val="22"/>
          <w:szCs w:val="22"/>
          <w:lang w:val="uk-UA"/>
        </w:rPr>
        <w:t>.202</w:t>
      </w:r>
      <w:r w:rsidR="00530AEF">
        <w:rPr>
          <w:i/>
          <w:sz w:val="22"/>
          <w:szCs w:val="22"/>
          <w:lang w:val="uk-UA"/>
        </w:rPr>
        <w:t>1</w:t>
      </w:r>
      <w:r w:rsidR="00EA669B">
        <w:rPr>
          <w:i/>
          <w:sz w:val="22"/>
          <w:szCs w:val="22"/>
          <w:lang w:val="uk-UA"/>
        </w:rPr>
        <w:t xml:space="preserve">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lastRenderedPageBreak/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</w:t>
      </w:r>
      <w:r w:rsidR="00530AEF">
        <w:rPr>
          <w:i/>
          <w:sz w:val="22"/>
          <w:szCs w:val="22"/>
          <w:lang w:val="uk-UA"/>
        </w:rPr>
        <w:t>9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530AEF">
        <w:rPr>
          <w:rStyle w:val="rvts24"/>
          <w:i/>
          <w:sz w:val="22"/>
          <w:szCs w:val="22"/>
          <w:shd w:val="clear" w:color="auto" w:fill="FFFFFF"/>
        </w:rPr>
        <w:t>встановлення торгового автомату з продажу гарячих напоїв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</w:t>
      </w:r>
      <w:r w:rsidR="00783F2B">
        <w:rPr>
          <w:sz w:val="22"/>
          <w:szCs w:val="22"/>
          <w:lang w:val="uk-UA"/>
        </w:rPr>
        <w:t>0</w:t>
      </w:r>
      <w:r w:rsidR="009F38B7" w:rsidRPr="009F38B7">
        <w:rPr>
          <w:sz w:val="22"/>
          <w:szCs w:val="22"/>
          <w:lang w:val="uk-UA"/>
        </w:rPr>
        <w:t>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</w:t>
      </w:r>
      <w:r w:rsidR="00530AEF">
        <w:rPr>
          <w:i/>
          <w:sz w:val="22"/>
          <w:szCs w:val="22"/>
          <w:lang w:val="uk-UA"/>
        </w:rPr>
        <w:t>4</w:t>
      </w:r>
      <w:r w:rsidR="009F38B7" w:rsidRPr="009F38B7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530AEF">
        <w:rPr>
          <w:i/>
          <w:sz w:val="22"/>
          <w:szCs w:val="22"/>
          <w:lang w:val="uk-UA"/>
        </w:rPr>
        <w:t xml:space="preserve">151,10 </w:t>
      </w:r>
      <w:bookmarkStart w:id="22" w:name="_GoBack"/>
      <w:bookmarkEnd w:id="22"/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3" w:name="n306"/>
      <w:bookmarkEnd w:id="23"/>
      <w:r w:rsidR="00783F2B">
        <w:rPr>
          <w:i/>
          <w:sz w:val="22"/>
          <w:szCs w:val="22"/>
          <w:lang w:val="uk-UA"/>
        </w:rPr>
        <w:t>2361,50</w:t>
      </w:r>
      <w:r w:rsidR="009F38B7" w:rsidRPr="009F38B7">
        <w:rPr>
          <w:i/>
          <w:sz w:val="22"/>
          <w:szCs w:val="22"/>
          <w:lang w:val="uk-UA"/>
        </w:rPr>
        <w:t xml:space="preserve">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D05A70">
        <w:rPr>
          <w:i/>
          <w:sz w:val="22"/>
          <w:szCs w:val="22"/>
          <w:lang w:val="uk-UA"/>
        </w:rPr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D05A70">
        <w:rPr>
          <w:i/>
          <w:sz w:val="22"/>
          <w:szCs w:val="22"/>
          <w:lang w:val="uk-UA"/>
        </w:rPr>
        <w:lastRenderedPageBreak/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30AEF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D0690"/>
    <w:rsid w:val="006E38F9"/>
    <w:rsid w:val="007300CC"/>
    <w:rsid w:val="00782226"/>
    <w:rsid w:val="007835CF"/>
    <w:rsid w:val="00783F2B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9224C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3423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F01A4"/>
    <w:rsid w:val="00EF4BD1"/>
    <w:rsid w:val="00EF6BA7"/>
    <w:rsid w:val="00F20CA5"/>
    <w:rsid w:val="00F2304C"/>
    <w:rsid w:val="00F41AF2"/>
    <w:rsid w:val="00F52869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955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5713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19</cp:revision>
  <cp:lastPrinted>2020-10-23T13:04:00Z</cp:lastPrinted>
  <dcterms:created xsi:type="dcterms:W3CDTF">2020-09-27T11:07:00Z</dcterms:created>
  <dcterms:modified xsi:type="dcterms:W3CDTF">2020-10-23T13:05:00Z</dcterms:modified>
</cp:coreProperties>
</file>