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ДОГОВІР ОРЕНДИ</w:t>
      </w:r>
    </w:p>
    <w:p w:rsidR="00EB0CF8" w:rsidRPr="00A44AAE" w:rsidRDefault="00EB0CF8" w:rsidP="00EB0CF8">
      <w:pPr>
        <w:pStyle w:val="Default"/>
        <w:jc w:val="center"/>
        <w:rPr>
          <w:sz w:val="22"/>
          <w:szCs w:val="22"/>
          <w:lang w:val="ru-RU"/>
        </w:rPr>
      </w:pPr>
      <w:r w:rsidRPr="00AC74A9">
        <w:rPr>
          <w:b/>
          <w:bCs/>
          <w:sz w:val="22"/>
          <w:szCs w:val="22"/>
        </w:rPr>
        <w:t>нерухомого майна, що належить до державної власності</w:t>
      </w:r>
      <w:r w:rsidRPr="00AC74A9">
        <w:rPr>
          <w:b/>
          <w:bCs/>
          <w:color w:val="2D96D2"/>
          <w:sz w:val="22"/>
          <w:szCs w:val="22"/>
        </w:rPr>
        <w:t xml:space="preserve"> </w:t>
      </w:r>
      <w:r w:rsidR="00DC2E11">
        <w:rPr>
          <w:b/>
          <w:sz w:val="22"/>
          <w:szCs w:val="22"/>
        </w:rPr>
        <w:t>№</w:t>
      </w:r>
      <w:r w:rsidR="00DC2E11" w:rsidRPr="00DC2E11">
        <w:rPr>
          <w:b/>
          <w:sz w:val="22"/>
          <w:szCs w:val="22"/>
          <w:lang w:val="ru-RU"/>
        </w:rPr>
        <w:t xml:space="preserve">      </w:t>
      </w:r>
      <w:r w:rsidRPr="00C24062">
        <w:rPr>
          <w:b/>
          <w:sz w:val="22"/>
          <w:szCs w:val="22"/>
          <w:lang w:val="ru-RU"/>
        </w:rPr>
        <w:t xml:space="preserve"> </w:t>
      </w:r>
      <w:r w:rsidRPr="00C24062">
        <w:rPr>
          <w:b/>
          <w:sz w:val="22"/>
          <w:szCs w:val="22"/>
        </w:rPr>
        <w:t xml:space="preserve"> від </w:t>
      </w:r>
    </w:p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Змінювані умови договору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79000 м.Львів, вул.Січових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914B3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4B38"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914B38" w:rsidRDefault="00722E57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6" w:history="1">
              <w:r w:rsidR="00AD7118" w:rsidRPr="00914B38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914B38">
                <w:rPr>
                  <w:rStyle w:val="a5"/>
                  <w:rFonts w:ascii="Times New Roman" w:hAnsi="Times New Roman"/>
                  <w:sz w:val="22"/>
                  <w:szCs w:val="22"/>
                </w:rPr>
                <w:t>@</w:t>
              </w:r>
              <w:proofErr w:type="spellStart"/>
              <w:r w:rsidR="00AD7118" w:rsidRPr="00914B38">
                <w:rPr>
                  <w:rStyle w:val="a5"/>
                  <w:rFonts w:ascii="Times New Roman" w:hAnsi="Times New Roman"/>
                  <w:sz w:val="22"/>
                  <w:szCs w:val="22"/>
                </w:rPr>
                <w:t>spfu.gov.ua</w:t>
              </w:r>
              <w:proofErr w:type="spellEnd"/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914B3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914B3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914B3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914B3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914B3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914B38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914B38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914B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 w:rsidRPr="00914B38"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914B38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914B38" w:rsidRDefault="00A41AA1" w:rsidP="00A41AA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Університет банківської справи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914B38" w:rsidRDefault="00A41AA1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34716922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914B38" w:rsidRDefault="00A41AA1" w:rsidP="004F61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м.Львів, вул.Січових Стрільців, 11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914B38" w:rsidRDefault="00A41AA1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Кузнєцова Анжела Ярославівна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914B38" w:rsidRDefault="00A41AA1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ректор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914B38" w:rsidRDefault="007357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Статут, затверджений Наказом Міністерства освіти і науки України "908 від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09.07.2020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914B3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4B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 w:rsidRPr="00914B38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914B38"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7357F8" w:rsidRDefault="007357F8" w:rsidP="00271500">
            <w:pPr>
              <w:spacing w:before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l_brovar@ukr.net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914B3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4B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 w:rsidRPr="00914B3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 w:rsidRPr="00914B38"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914B3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4B38"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 w:rsidRPr="00914B3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914B3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 w:rsidRPr="00914B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914B38" w:rsidRDefault="00C004FE" w:rsidP="00C004F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B38">
              <w:rPr>
                <w:rStyle w:val="a6"/>
                <w:rFonts w:ascii="Times New Roman" w:hAnsi="Times New Roman"/>
                <w:sz w:val="21"/>
                <w:szCs w:val="21"/>
              </w:rPr>
              <w:t>частин</w:t>
            </w:r>
            <w:r w:rsidRPr="00C004FE">
              <w:rPr>
                <w:rStyle w:val="a6"/>
                <w:rFonts w:ascii="Times New Roman" w:hAnsi="Times New Roman"/>
                <w:sz w:val="21"/>
                <w:szCs w:val="21"/>
                <w:lang w:val="ru-RU"/>
              </w:rPr>
              <w:t>а</w:t>
            </w:r>
            <w:r w:rsidRPr="00CA4B38">
              <w:rPr>
                <w:rStyle w:val="a6"/>
                <w:rFonts w:ascii="Times New Roman" w:hAnsi="Times New Roman"/>
                <w:sz w:val="21"/>
                <w:szCs w:val="21"/>
              </w:rPr>
              <w:t xml:space="preserve"> нежитлового приміщення №2 (вестибюль) площею 2,0кв.м, що розміщен</w:t>
            </w:r>
            <w:r>
              <w:rPr>
                <w:rStyle w:val="a6"/>
                <w:rFonts w:ascii="Times New Roman" w:hAnsi="Times New Roman"/>
                <w:sz w:val="21"/>
                <w:szCs w:val="21"/>
              </w:rPr>
              <w:t>е на першому поверсі, та частина</w:t>
            </w:r>
            <w:r w:rsidRPr="00CA4B38">
              <w:rPr>
                <w:rStyle w:val="a6"/>
                <w:rFonts w:ascii="Times New Roman" w:hAnsi="Times New Roman"/>
                <w:sz w:val="21"/>
                <w:szCs w:val="21"/>
              </w:rPr>
              <w:t xml:space="preserve"> нежитлового приміщення №216 (вестибюль) площею 2,0кв.м, що розміщене на четвертому поверсі будівлі за адресою: м.Львів, проспект Чорновола,61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Pr="00914B3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4B38"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914B38"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Pr="00914B3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4B38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Pr="00914B3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Pr="00914B3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4B38"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914B38" w:rsidRDefault="00C12E3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4B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</w:t>
            </w:r>
            <w:r w:rsidR="00D3652D" w:rsidRPr="00914B38">
              <w:rPr>
                <w:rFonts w:ascii="Times New Roman" w:hAnsi="Times New Roman"/>
                <w:color w:val="000000"/>
                <w:sz w:val="22"/>
                <w:szCs w:val="22"/>
              </w:rPr>
              <w:t>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D3" w:rsidRDefault="006318D3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18D3" w:rsidRPr="00271500" w:rsidRDefault="006318D3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Pr="00C004FE" w:rsidRDefault="00C004FE" w:rsidP="00460F6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89200грн.(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вісімдесять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дев'ять тисяч двісті грн.)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7742C1" w:rsidRDefault="00C004FE" w:rsidP="0017310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ПП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Крилошанський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Юрій Євгенійо</w:t>
            </w:r>
            <w:r w:rsidR="003A495F">
              <w:rPr>
                <w:rFonts w:ascii="Times New Roman" w:hAnsi="Times New Roman"/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42C1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="002D7123" w:rsidRPr="007742C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742C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7742C1"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="007742C1">
              <w:rPr>
                <w:rFonts w:ascii="Times New Roman" w:hAnsi="Times New Roman"/>
                <w:color w:val="000000"/>
                <w:sz w:val="22"/>
                <w:szCs w:val="22"/>
              </w:rPr>
              <w:t>лип</w:t>
            </w:r>
            <w:r w:rsidR="00173104" w:rsidRPr="007742C1">
              <w:rPr>
                <w:rFonts w:ascii="Times New Roman" w:hAnsi="Times New Roman"/>
                <w:color w:val="000000"/>
                <w:sz w:val="22"/>
                <w:szCs w:val="22"/>
              </w:rPr>
              <w:t>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0F60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="003A495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A41AA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  <w:r w:rsidRPr="00460F60"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proofErr w:type="spellStart"/>
            <w:r w:rsidR="00A41AA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жовтня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3A495F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3A495F">
              <w:rPr>
                <w:rFonts w:ascii="Times New Roman" w:hAnsi="Times New Roman"/>
                <w:color w:val="000000"/>
                <w:sz w:val="22"/>
                <w:szCs w:val="22"/>
              </w:rPr>
              <w:t>жовтня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2D7123" w:rsidP="00790CC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r w:rsidR="003A495F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  <w:r w:rsidR="00C004F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C004FE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89200грн.(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вісімдесять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дев'ять тисяч двісті грн.)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proofErr w:type="spellStart"/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, пов’язані із проведенням оцінки Майна</w:t>
            </w:r>
          </w:p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972" w:rsidRPr="00E86972" w:rsidRDefault="00E86972" w:rsidP="00E86972">
            <w:pPr>
              <w:pStyle w:val="a7"/>
              <w:ind w:firstLine="567"/>
              <w:rPr>
                <w:rStyle w:val="a6"/>
                <w:rFonts w:ascii="Times New Roman" w:hAnsi="Times New Roman"/>
                <w:sz w:val="22"/>
                <w:szCs w:val="22"/>
              </w:rPr>
            </w:pPr>
            <w:r w:rsidRPr="007B7E6C">
              <w:rPr>
                <w:rStyle w:val="a6"/>
                <w:rFonts w:ascii="Times New Roman" w:hAnsi="Times New Roman"/>
                <w:sz w:val="22"/>
                <w:szCs w:val="22"/>
              </w:rPr>
              <w:t>розміщення торговельного автомату, що відпускає  продовольчі товари</w:t>
            </w:r>
          </w:p>
          <w:p w:rsidR="00EB0CF8" w:rsidRPr="00460F60" w:rsidRDefault="00EB0CF8" w:rsidP="00E86972">
            <w:pPr>
              <w:pStyle w:val="a7"/>
              <w:rPr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A27522" w:rsidRDefault="00A27522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потрібно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A008FB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8FB">
              <w:rPr>
                <w:rFonts w:ascii="Times New Roman" w:hAnsi="Times New Roman"/>
                <w:color w:val="000000"/>
                <w:sz w:val="22"/>
                <w:szCs w:val="22"/>
              </w:rPr>
              <w:t>компенсуються Орендарем в пор</w:t>
            </w:r>
            <w:r w:rsidR="00A008FB" w:rsidRPr="00A008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ядку, передбаченому пунктом </w:t>
            </w:r>
            <w:r w:rsidR="00A008FB" w:rsidRPr="00A008F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6.5</w:t>
            </w:r>
            <w:r w:rsidRPr="00A008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 (шість) місячних орендних 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C51EA7" w:rsidP="00E86972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</w:t>
            </w:r>
            <w:r w:rsidR="00E86972">
              <w:rPr>
                <w:rFonts w:ascii="Times New Roman" w:hAnsi="Times New Roman"/>
                <w:color w:val="000000"/>
                <w:sz w:val="22"/>
                <w:szCs w:val="22"/>
              </w:rPr>
              <w:t>договір діє 3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роки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Pr="00B2440D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</w:t>
            </w:r>
            <w:r w:rsidRPr="00B2440D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/</w:t>
            </w:r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не </w:t>
            </w:r>
            <w:proofErr w:type="spellStart"/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7357F8" w:rsidRDefault="007357F8" w:rsidP="009C0C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357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Розрахунковий</w:t>
            </w:r>
            <w:proofErr w:type="spellEnd"/>
            <w:r w:rsidRPr="007357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357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рахунок</w:t>
            </w:r>
            <w:proofErr w:type="spellEnd"/>
            <w:r w:rsidRPr="007357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IBAN</w:t>
            </w:r>
            <w:r w:rsidRPr="007357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№408201720313291002203092072 в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ЄДРПОУ 34716922</w:t>
            </w: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E86972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ГУК 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./м.Львів/</w:t>
            </w:r>
          </w:p>
          <w:p w:rsidR="00EB0CF8" w:rsidRPr="00384F05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22080200, код отримувача (ЄДРПОУ):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38008294, банк отримувача: Казначейство України (ЕАП), код банку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МФО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899998, номер рахунку: UA 148999980313030093000013002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384F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8C33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 50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C51E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C51E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37578B">
              <w:rPr>
                <w:rFonts w:ascii="Times New Roman" w:hAnsi="Times New Roman"/>
                <w:color w:val="000000"/>
                <w:sz w:val="22"/>
                <w:szCs w:val="22"/>
              </w:rPr>
              <w:t>березня</w:t>
            </w:r>
            <w:proofErr w:type="gramEnd"/>
            <w:r w:rsidR="00C51E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2020р.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C41C4B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C41C4B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 w:rsidR="001038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0CC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" </w:t>
            </w:r>
            <w:r w:rsidR="00DE026B">
              <w:rPr>
                <w:rFonts w:ascii="Times New Roman" w:hAnsi="Times New Roman"/>
                <w:sz w:val="22"/>
                <w:szCs w:val="22"/>
              </w:rPr>
              <w:t>серпня</w:t>
            </w:r>
            <w:r w:rsidRPr="00C41C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90CC0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DE026B">
              <w:rPr>
                <w:rFonts w:ascii="Times New Roman" w:hAnsi="Times New Roman"/>
                <w:sz w:val="22"/>
                <w:szCs w:val="22"/>
              </w:rPr>
              <w:t>року</w:t>
            </w:r>
          </w:p>
          <w:p w:rsidR="00EB0CF8" w:rsidRDefault="00EB0CF8" w:rsidP="001038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C66B35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635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“</w:t>
            </w:r>
            <w:r w:rsidR="00790C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  <w:r w:rsidR="00CB1846" w:rsidRPr="00CB184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1846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="00790C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</w:t>
            </w:r>
            <w:r w:rsidR="00C66B35" w:rsidRPr="00C66B3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="00CB1846" w:rsidRPr="00C66B35">
              <w:rPr>
                <w:rFonts w:ascii="Times New Roman" w:hAnsi="Times New Roman"/>
                <w:sz w:val="22"/>
                <w:szCs w:val="22"/>
              </w:rPr>
              <w:t>2020</w:t>
            </w:r>
            <w:r w:rsidR="00C66B35" w:rsidRPr="00C66B3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</w:t>
            </w:r>
          </w:p>
          <w:p w:rsidR="00EB0CF8" w:rsidRPr="00C66B35" w:rsidRDefault="00EB0CF8" w:rsidP="00790CC0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B3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</w:t>
      </w:r>
      <w:r w:rsidRPr="00FD2249">
        <w:rPr>
          <w:rFonts w:ascii="Times New Roman" w:hAnsi="Times New Roman"/>
          <w:sz w:val="22"/>
          <w:szCs w:val="22"/>
        </w:rPr>
        <w:lastRenderedPageBreak/>
        <w:t>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</w:t>
      </w:r>
      <w:proofErr w:type="spellStart"/>
      <w:r w:rsidRPr="00FD2249">
        <w:rPr>
          <w:rFonts w:ascii="Times New Roman" w:hAnsi="Times New Roman"/>
          <w:sz w:val="22"/>
          <w:szCs w:val="22"/>
        </w:rPr>
        <w:t>“Про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“Протягом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</w:t>
      </w:r>
      <w:r w:rsidRPr="00FD2249">
        <w:rPr>
          <w:rFonts w:ascii="Times New Roman" w:hAnsi="Times New Roman"/>
          <w:sz w:val="22"/>
          <w:szCs w:val="22"/>
        </w:rPr>
        <w:lastRenderedPageBreak/>
        <w:t>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2B" w:rsidRDefault="0092652B" w:rsidP="0029676C">
      <w:r>
        <w:separator/>
      </w:r>
    </w:p>
  </w:endnote>
  <w:endnote w:type="continuationSeparator" w:id="0">
    <w:p w:rsidR="0092652B" w:rsidRDefault="0092652B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2B" w:rsidRDefault="0092652B" w:rsidP="0029676C">
      <w:r>
        <w:separator/>
      </w:r>
    </w:p>
  </w:footnote>
  <w:footnote w:type="continuationSeparator" w:id="0">
    <w:p w:rsidR="0092652B" w:rsidRDefault="0092652B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722E57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722E57">
    <w:pPr>
      <w:framePr w:wrap="around" w:vAnchor="text" w:hAnchor="margin" w:xAlign="center" w:y="1"/>
    </w:pPr>
    <w:fldSimple w:instr="PAGE  ">
      <w:r w:rsidR="007357F8">
        <w:rPr>
          <w:noProof/>
        </w:rPr>
        <w:t>16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22412"/>
    <w:rsid w:val="00043092"/>
    <w:rsid w:val="00073D05"/>
    <w:rsid w:val="000838C6"/>
    <w:rsid w:val="00084C93"/>
    <w:rsid w:val="00090345"/>
    <w:rsid w:val="000A177D"/>
    <w:rsid w:val="000B7FF7"/>
    <w:rsid w:val="000C3AE7"/>
    <w:rsid w:val="000E71DF"/>
    <w:rsid w:val="001038B9"/>
    <w:rsid w:val="001109A9"/>
    <w:rsid w:val="001162EB"/>
    <w:rsid w:val="00120F37"/>
    <w:rsid w:val="00124FE4"/>
    <w:rsid w:val="00142F4D"/>
    <w:rsid w:val="00142FDA"/>
    <w:rsid w:val="0016115F"/>
    <w:rsid w:val="00173104"/>
    <w:rsid w:val="00175F59"/>
    <w:rsid w:val="00176D91"/>
    <w:rsid w:val="001847CA"/>
    <w:rsid w:val="00190927"/>
    <w:rsid w:val="00193AEC"/>
    <w:rsid w:val="001A5188"/>
    <w:rsid w:val="001C6E8B"/>
    <w:rsid w:val="001E1282"/>
    <w:rsid w:val="001E5FC1"/>
    <w:rsid w:val="001F6356"/>
    <w:rsid w:val="00204B11"/>
    <w:rsid w:val="002056DF"/>
    <w:rsid w:val="00207C53"/>
    <w:rsid w:val="00212F0F"/>
    <w:rsid w:val="0023340B"/>
    <w:rsid w:val="00237E31"/>
    <w:rsid w:val="0024214F"/>
    <w:rsid w:val="00252DF0"/>
    <w:rsid w:val="002535F8"/>
    <w:rsid w:val="00271500"/>
    <w:rsid w:val="00290A85"/>
    <w:rsid w:val="00291C0B"/>
    <w:rsid w:val="0029676C"/>
    <w:rsid w:val="002A0767"/>
    <w:rsid w:val="002A547A"/>
    <w:rsid w:val="002B6CB4"/>
    <w:rsid w:val="002D7123"/>
    <w:rsid w:val="002F5F02"/>
    <w:rsid w:val="002F7B1F"/>
    <w:rsid w:val="003026CB"/>
    <w:rsid w:val="0030650F"/>
    <w:rsid w:val="0031102D"/>
    <w:rsid w:val="00326BB0"/>
    <w:rsid w:val="0037578B"/>
    <w:rsid w:val="00384F05"/>
    <w:rsid w:val="003929E7"/>
    <w:rsid w:val="003A495F"/>
    <w:rsid w:val="003A7994"/>
    <w:rsid w:val="0040386A"/>
    <w:rsid w:val="00405E47"/>
    <w:rsid w:val="00423CCF"/>
    <w:rsid w:val="004254DA"/>
    <w:rsid w:val="00444619"/>
    <w:rsid w:val="00460F60"/>
    <w:rsid w:val="00495A3E"/>
    <w:rsid w:val="004B1555"/>
    <w:rsid w:val="004C2DE3"/>
    <w:rsid w:val="004C557A"/>
    <w:rsid w:val="004C737A"/>
    <w:rsid w:val="004F1E7A"/>
    <w:rsid w:val="004F2C98"/>
    <w:rsid w:val="004F61D3"/>
    <w:rsid w:val="00524072"/>
    <w:rsid w:val="00533D24"/>
    <w:rsid w:val="005569C8"/>
    <w:rsid w:val="00557F95"/>
    <w:rsid w:val="005E1E80"/>
    <w:rsid w:val="005E5CC7"/>
    <w:rsid w:val="005F7275"/>
    <w:rsid w:val="00625C5B"/>
    <w:rsid w:val="006318D3"/>
    <w:rsid w:val="00636144"/>
    <w:rsid w:val="006510E8"/>
    <w:rsid w:val="006738E8"/>
    <w:rsid w:val="00692292"/>
    <w:rsid w:val="006A6133"/>
    <w:rsid w:val="006C7DC1"/>
    <w:rsid w:val="006D6E2E"/>
    <w:rsid w:val="006F422C"/>
    <w:rsid w:val="00716EC1"/>
    <w:rsid w:val="00722E57"/>
    <w:rsid w:val="007357F8"/>
    <w:rsid w:val="00746F77"/>
    <w:rsid w:val="0076654A"/>
    <w:rsid w:val="007742C1"/>
    <w:rsid w:val="00790CC0"/>
    <w:rsid w:val="00791C06"/>
    <w:rsid w:val="007A709E"/>
    <w:rsid w:val="007A7C32"/>
    <w:rsid w:val="007C523B"/>
    <w:rsid w:val="007D3124"/>
    <w:rsid w:val="008022FD"/>
    <w:rsid w:val="00811EB9"/>
    <w:rsid w:val="00817E60"/>
    <w:rsid w:val="008255AB"/>
    <w:rsid w:val="008361AD"/>
    <w:rsid w:val="00844348"/>
    <w:rsid w:val="00844366"/>
    <w:rsid w:val="0087506C"/>
    <w:rsid w:val="00884B71"/>
    <w:rsid w:val="008A6475"/>
    <w:rsid w:val="008B6B87"/>
    <w:rsid w:val="008C0FFA"/>
    <w:rsid w:val="008C33F8"/>
    <w:rsid w:val="008E2DFD"/>
    <w:rsid w:val="008F02B2"/>
    <w:rsid w:val="008F13A5"/>
    <w:rsid w:val="0090313C"/>
    <w:rsid w:val="00914B38"/>
    <w:rsid w:val="0092652B"/>
    <w:rsid w:val="009269D2"/>
    <w:rsid w:val="009273A2"/>
    <w:rsid w:val="00933FCA"/>
    <w:rsid w:val="0093428F"/>
    <w:rsid w:val="00942949"/>
    <w:rsid w:val="00944943"/>
    <w:rsid w:val="0099102E"/>
    <w:rsid w:val="009936B9"/>
    <w:rsid w:val="009A0D32"/>
    <w:rsid w:val="009A770A"/>
    <w:rsid w:val="009B300F"/>
    <w:rsid w:val="009C0CE1"/>
    <w:rsid w:val="00A008FB"/>
    <w:rsid w:val="00A00E4A"/>
    <w:rsid w:val="00A13FF6"/>
    <w:rsid w:val="00A14805"/>
    <w:rsid w:val="00A27522"/>
    <w:rsid w:val="00A31C5C"/>
    <w:rsid w:val="00A35249"/>
    <w:rsid w:val="00A41AA1"/>
    <w:rsid w:val="00A44AAE"/>
    <w:rsid w:val="00A56C52"/>
    <w:rsid w:val="00A63F0F"/>
    <w:rsid w:val="00A84919"/>
    <w:rsid w:val="00A91A01"/>
    <w:rsid w:val="00A92304"/>
    <w:rsid w:val="00AD7118"/>
    <w:rsid w:val="00B00203"/>
    <w:rsid w:val="00B006A8"/>
    <w:rsid w:val="00B25887"/>
    <w:rsid w:val="00B33B56"/>
    <w:rsid w:val="00B635B1"/>
    <w:rsid w:val="00B650F9"/>
    <w:rsid w:val="00B7256D"/>
    <w:rsid w:val="00B81815"/>
    <w:rsid w:val="00B81ED3"/>
    <w:rsid w:val="00B87BE4"/>
    <w:rsid w:val="00B92576"/>
    <w:rsid w:val="00BB317A"/>
    <w:rsid w:val="00BB41C7"/>
    <w:rsid w:val="00BC19D4"/>
    <w:rsid w:val="00BD1DC6"/>
    <w:rsid w:val="00C004FE"/>
    <w:rsid w:val="00C010D8"/>
    <w:rsid w:val="00C05428"/>
    <w:rsid w:val="00C11AE5"/>
    <w:rsid w:val="00C12E34"/>
    <w:rsid w:val="00C24062"/>
    <w:rsid w:val="00C41C4B"/>
    <w:rsid w:val="00C44455"/>
    <w:rsid w:val="00C45155"/>
    <w:rsid w:val="00C474B3"/>
    <w:rsid w:val="00C51EA7"/>
    <w:rsid w:val="00C6064F"/>
    <w:rsid w:val="00C61AA1"/>
    <w:rsid w:val="00C66B35"/>
    <w:rsid w:val="00C805B0"/>
    <w:rsid w:val="00CA0D60"/>
    <w:rsid w:val="00CB1846"/>
    <w:rsid w:val="00CD4451"/>
    <w:rsid w:val="00CD7930"/>
    <w:rsid w:val="00CE685D"/>
    <w:rsid w:val="00CE6A80"/>
    <w:rsid w:val="00CF07D2"/>
    <w:rsid w:val="00D1042C"/>
    <w:rsid w:val="00D122BB"/>
    <w:rsid w:val="00D22F9C"/>
    <w:rsid w:val="00D34E2B"/>
    <w:rsid w:val="00D3652D"/>
    <w:rsid w:val="00D36B0C"/>
    <w:rsid w:val="00D42B6D"/>
    <w:rsid w:val="00D64336"/>
    <w:rsid w:val="00D65434"/>
    <w:rsid w:val="00D761F8"/>
    <w:rsid w:val="00D80D64"/>
    <w:rsid w:val="00D9289B"/>
    <w:rsid w:val="00D935A2"/>
    <w:rsid w:val="00DA3664"/>
    <w:rsid w:val="00DA7414"/>
    <w:rsid w:val="00DB4212"/>
    <w:rsid w:val="00DC2E11"/>
    <w:rsid w:val="00DD0457"/>
    <w:rsid w:val="00DD13A1"/>
    <w:rsid w:val="00DE026B"/>
    <w:rsid w:val="00E02ED2"/>
    <w:rsid w:val="00E52486"/>
    <w:rsid w:val="00E64808"/>
    <w:rsid w:val="00E8459C"/>
    <w:rsid w:val="00E86972"/>
    <w:rsid w:val="00EA344F"/>
    <w:rsid w:val="00EB0CF8"/>
    <w:rsid w:val="00EC2F69"/>
    <w:rsid w:val="00ED2DFC"/>
    <w:rsid w:val="00EE1D44"/>
    <w:rsid w:val="00EF1471"/>
    <w:rsid w:val="00F07F69"/>
    <w:rsid w:val="00F16C9F"/>
    <w:rsid w:val="00F53FFB"/>
    <w:rsid w:val="00F54FFE"/>
    <w:rsid w:val="00F55DD2"/>
    <w:rsid w:val="00F57E42"/>
    <w:rsid w:val="00F840FE"/>
    <w:rsid w:val="00F95F16"/>
    <w:rsid w:val="00F962A9"/>
    <w:rsid w:val="00FA3264"/>
    <w:rsid w:val="00FC5EB9"/>
    <w:rsid w:val="00FD2249"/>
    <w:rsid w:val="00FD2441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6">
    <w:name w:val="Печатная машинка"/>
    <w:rsid w:val="00F840FE"/>
    <w:rPr>
      <w:rFonts w:ascii="Courier New" w:hAnsi="Courier New"/>
      <w:sz w:val="20"/>
    </w:rPr>
  </w:style>
  <w:style w:type="paragraph" w:styleId="a7">
    <w:name w:val="Body Text"/>
    <w:basedOn w:val="a"/>
    <w:link w:val="a8"/>
    <w:rsid w:val="00C474B3"/>
    <w:pPr>
      <w:spacing w:before="20"/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rsid w:val="00C474B3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@spfu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30200</Words>
  <Characters>17215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60</cp:lastModifiedBy>
  <cp:revision>78</cp:revision>
  <cp:lastPrinted>2020-10-29T13:04:00Z</cp:lastPrinted>
  <dcterms:created xsi:type="dcterms:W3CDTF">2020-09-24T08:33:00Z</dcterms:created>
  <dcterms:modified xsi:type="dcterms:W3CDTF">2020-11-26T11:11:00Z</dcterms:modified>
</cp:coreProperties>
</file>