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B361" w14:textId="77777777" w:rsidR="001E2B6A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EE74FD3" w14:textId="52F07B30" w:rsidR="003E0791" w:rsidRP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ОГОЛОШЕННЯ</w:t>
      </w:r>
    </w:p>
    <w:p w14:paraId="1AEE43C5" w14:textId="468533E9" w:rsidR="003E0791" w:rsidRDefault="003E0791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E079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про передачу нерухомого майна в оренду на аукціоні</w:t>
      </w:r>
    </w:p>
    <w:p w14:paraId="7F253F0B" w14:textId="77777777" w:rsidR="001E2B6A" w:rsidRPr="003E0791" w:rsidRDefault="001E2B6A" w:rsidP="003E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107322" w14:paraId="5C3E06C2" w14:textId="77777777" w:rsidTr="00BC2AE2">
        <w:tc>
          <w:tcPr>
            <w:tcW w:w="2739" w:type="dxa"/>
          </w:tcPr>
          <w:p w14:paraId="41AAA88B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аукціону</w:t>
            </w:r>
            <w:r w:rsidRPr="003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7114" w:type="dxa"/>
          </w:tcPr>
          <w:p w14:paraId="51B1665A" w14:textId="1AC88B5C" w:rsidR="005E0382" w:rsidRPr="005E0382" w:rsidRDefault="00381753" w:rsidP="005E038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  <w:lang w:val="uk-UA" w:eastAsia="uk-UA"/>
              </w:rPr>
            </w:pPr>
            <w:hyperlink r:id="rId5" w:history="1">
              <w:r w:rsidR="005E0382" w:rsidRPr="005E0382">
                <w:rPr>
                  <w:sz w:val="24"/>
                  <w:szCs w:val="24"/>
                  <w:lang w:val="uk-UA" w:eastAsia="uk-UA"/>
                </w:rPr>
                <w:t xml:space="preserve">Частина нежитлової будівлі поліклініки, площею 46,0 </w:t>
              </w:r>
              <w:proofErr w:type="spellStart"/>
              <w:r w:rsidR="005E0382" w:rsidRPr="005E0382">
                <w:rPr>
                  <w:sz w:val="24"/>
                  <w:szCs w:val="24"/>
                  <w:lang w:val="uk-UA" w:eastAsia="uk-UA"/>
                </w:rPr>
                <w:t>кв.м</w:t>
              </w:r>
              <w:proofErr w:type="spellEnd"/>
              <w:r w:rsidR="005E0382" w:rsidRPr="005E0382">
                <w:rPr>
                  <w:sz w:val="24"/>
                  <w:szCs w:val="24"/>
                  <w:lang w:val="uk-UA" w:eastAsia="uk-UA"/>
                </w:rPr>
                <w:t xml:space="preserve">., що розташована за </w:t>
              </w:r>
              <w:proofErr w:type="spellStart"/>
              <w:r w:rsidR="005E0382" w:rsidRPr="005E0382">
                <w:rPr>
                  <w:sz w:val="24"/>
                  <w:szCs w:val="24"/>
                  <w:lang w:val="uk-UA" w:eastAsia="uk-UA"/>
                </w:rPr>
                <w:t>адресою</w:t>
              </w:r>
              <w:proofErr w:type="spellEnd"/>
              <w:r w:rsidR="005E0382" w:rsidRPr="005E0382">
                <w:rPr>
                  <w:sz w:val="24"/>
                  <w:szCs w:val="24"/>
                  <w:lang w:val="uk-UA" w:eastAsia="uk-UA"/>
                </w:rPr>
                <w:t xml:space="preserve"> Хмельницька обл., Шепетівський р-н., м. </w:t>
              </w:r>
              <w:proofErr w:type="spellStart"/>
              <w:r w:rsidR="005E0382" w:rsidRPr="005E0382">
                <w:rPr>
                  <w:sz w:val="24"/>
                  <w:szCs w:val="24"/>
                  <w:lang w:val="uk-UA" w:eastAsia="uk-UA"/>
                </w:rPr>
                <w:t>Полонне</w:t>
              </w:r>
              <w:proofErr w:type="spellEnd"/>
              <w:r w:rsidR="005E0382" w:rsidRPr="005E0382">
                <w:rPr>
                  <w:sz w:val="24"/>
                  <w:szCs w:val="24"/>
                  <w:lang w:val="uk-UA" w:eastAsia="uk-UA"/>
                </w:rPr>
                <w:t>, вул. Лесі Українки 177</w:t>
              </w:r>
            </w:hyperlink>
          </w:p>
          <w:p w14:paraId="4B10BD61" w14:textId="50EA905F" w:rsidR="003E0791" w:rsidRPr="005E0382" w:rsidRDefault="003E0791" w:rsidP="001F7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</w:tr>
      <w:tr w:rsidR="003E0791" w:rsidRPr="00107322" w14:paraId="16B7EB40" w14:textId="77777777" w:rsidTr="00BC2AE2">
        <w:tc>
          <w:tcPr>
            <w:tcW w:w="2739" w:type="dxa"/>
          </w:tcPr>
          <w:p w14:paraId="5296161E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орендодавця</w:t>
            </w:r>
          </w:p>
          <w:p w14:paraId="62DB6E57" w14:textId="77777777" w:rsidR="003E0791" w:rsidRPr="003E0791" w:rsidRDefault="003E0791" w:rsidP="003E0791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724D999" w14:textId="2A9EEA5A" w:rsidR="003E0791" w:rsidRPr="003E0791" w:rsidRDefault="005E0382" w:rsidP="005E0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Полонської міської ради «Полонська міська багатопрофільна лікарня ім. Наталії Савеліївни Говорун»</w:t>
            </w:r>
          </w:p>
          <w:p w14:paraId="7BBC7BD3" w14:textId="22AAA7A2" w:rsidR="003E0791" w:rsidRPr="003E0791" w:rsidRDefault="003E0791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02004404</w:t>
            </w:r>
          </w:p>
          <w:p w14:paraId="5E46D5B7" w14:textId="4794BFB8" w:rsidR="005E0382" w:rsidRPr="005E0382" w:rsidRDefault="003E0791" w:rsidP="005E0382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30500, Хмельницька область</w:t>
            </w:r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м.Полонне</w:t>
            </w:r>
            <w:proofErr w:type="spellEnd"/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вул. Л. Українки,177</w:t>
            </w:r>
          </w:p>
          <w:p w14:paraId="2B552B4F" w14:textId="25D82D2C" w:rsidR="003E0791" w:rsidRPr="003E0791" w:rsidRDefault="005E0382" w:rsidP="003E079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./факс 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(03843) 20900</w:t>
            </w:r>
            <w:r w:rsidRPr="00E90AE7">
              <w:rPr>
                <w:b/>
                <w:lang w:val="uk-UA"/>
              </w:rPr>
              <w:t xml:space="preserve">  </w:t>
            </w:r>
          </w:p>
          <w:p w14:paraId="7D6B4160" w14:textId="1F1C2D4D" w:rsidR="003E0791" w:rsidRPr="005E0382" w:rsidRDefault="003E0791" w:rsidP="005E0382">
            <w:pPr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 w:rsidR="005E0382">
              <w:rPr>
                <w:rFonts w:ascii="Times New Roman" w:eastAsia="Times New Roman" w:hAnsi="Times New Roman" w:cs="Times New Roman"/>
                <w:lang w:eastAsia="uk-UA"/>
              </w:rPr>
              <w:t>polcrl</w:t>
            </w:r>
            <w:proofErr w:type="spellEnd"/>
            <w:r w:rsidR="00F75EC7" w:rsidRPr="005E0382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="00F75EC7" w:rsidRPr="00F75EC7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F75EC7" w:rsidRPr="005E0382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F75EC7" w:rsidRPr="00F75EC7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7B7B9A" w:rsidRPr="00107322" w14:paraId="0EEEE6E7" w14:textId="77777777" w:rsidTr="00BC2AE2">
        <w:tc>
          <w:tcPr>
            <w:tcW w:w="2739" w:type="dxa"/>
          </w:tcPr>
          <w:p w14:paraId="28C8B4F7" w14:textId="77777777" w:rsidR="007B7B9A" w:rsidRPr="003E0791" w:rsidRDefault="007B7B9A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7114" w:type="dxa"/>
          </w:tcPr>
          <w:p w14:paraId="4A7CA44D" w14:textId="77777777" w:rsidR="005E0382" w:rsidRPr="003E0791" w:rsidRDefault="005E0382" w:rsidP="005E03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Полонської міської ради «Полонська міська багатопрофільна лікарня ім. Наталії Савеліївни Говорун»</w:t>
            </w:r>
          </w:p>
          <w:p w14:paraId="2AB80C32" w14:textId="77777777" w:rsidR="005E0382" w:rsidRPr="003E0791" w:rsidRDefault="005E0382" w:rsidP="005E038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02004404</w:t>
            </w:r>
          </w:p>
          <w:p w14:paraId="71B8950E" w14:textId="77777777" w:rsidR="005E0382" w:rsidRPr="005E0382" w:rsidRDefault="005E0382" w:rsidP="005E0382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Місцезнаходження: 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30500, Хмельницька область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м.Полонне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>,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вул. Л. Українки,177</w:t>
            </w:r>
          </w:p>
          <w:p w14:paraId="513B3172" w14:textId="77777777" w:rsidR="005E0382" w:rsidRPr="003E0791" w:rsidRDefault="005E0382" w:rsidP="005E038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./факс 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(03843) 20900</w:t>
            </w:r>
            <w:r w:rsidRPr="00E90AE7">
              <w:rPr>
                <w:b/>
                <w:lang w:val="uk-UA"/>
              </w:rPr>
              <w:t xml:space="preserve">  </w:t>
            </w:r>
          </w:p>
          <w:p w14:paraId="71B6DAA5" w14:textId="66E4C9E3" w:rsidR="007B7B9A" w:rsidRPr="003E0791" w:rsidRDefault="005E0382" w:rsidP="005E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Е-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mail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polcrl</w:t>
            </w:r>
            <w:proofErr w:type="spellEnd"/>
            <w:r w:rsidRPr="00107322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Pr="00F75EC7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Pr="00107322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F75EC7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</w:p>
        </w:tc>
      </w:tr>
      <w:tr w:rsidR="003E0791" w:rsidRPr="00107322" w14:paraId="2F3C3C05" w14:textId="77777777" w:rsidTr="00BC2AE2">
        <w:trPr>
          <w:trHeight w:val="643"/>
        </w:trPr>
        <w:tc>
          <w:tcPr>
            <w:tcW w:w="2739" w:type="dxa"/>
          </w:tcPr>
          <w:p w14:paraId="7E1CE23D" w14:textId="77777777" w:rsidR="003E0791" w:rsidRPr="003E0791" w:rsidRDefault="003E0791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14:paraId="35203273" w14:textId="3ECE8DB0" w:rsidR="003E0791" w:rsidRPr="003E0791" w:rsidRDefault="001F747D" w:rsidP="005E0382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ежитлов</w:t>
            </w:r>
            <w:r w:rsidR="00C60CD6">
              <w:rPr>
                <w:rFonts w:ascii="Times New Roman" w:eastAsia="Times New Roman" w:hAnsi="Times New Roman" w:cs="Times New Roman"/>
                <w:lang w:val="uk-UA" w:eastAsia="uk-UA"/>
              </w:rPr>
              <w:t>і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3E0791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приміщення 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загальною площею 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46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м</w:t>
            </w:r>
            <w:r w:rsidR="00C60CD6"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2 </w:t>
            </w:r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 </w:t>
            </w:r>
            <w:proofErr w:type="spellStart"/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вулиця Л. Українки, будинок 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177</w:t>
            </w:r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Полонне</w:t>
            </w:r>
            <w:proofErr w:type="spellEnd"/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, Хмельницька область</w:t>
            </w:r>
            <w:r w:rsidR="00C60CD6" w:rsidRPr="00176CCE">
              <w:rPr>
                <w:rFonts w:ascii="Times New Roman" w:eastAsia="Times New Roman" w:hAnsi="Times New Roman" w:cs="Times New Roman"/>
                <w:lang w:val="uk-UA" w:eastAsia="uk-UA"/>
              </w:rPr>
              <w:t>, що обліков</w:t>
            </w:r>
            <w:r w:rsid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уються на балансі КНП </w:t>
            </w:r>
            <w:r w:rsidR="005E0382" w:rsidRPr="005E0382">
              <w:rPr>
                <w:rFonts w:ascii="Times New Roman" w:eastAsia="Times New Roman" w:hAnsi="Times New Roman" w:cs="Times New Roman"/>
                <w:lang w:val="uk-UA" w:eastAsia="uk-UA"/>
              </w:rPr>
              <w:t>ПОЛОНСЬКА  МЛ  ІМ. Н.С. ГОВОРУН</w:t>
            </w:r>
          </w:p>
        </w:tc>
      </w:tr>
      <w:tr w:rsidR="003E0791" w:rsidRPr="003E0791" w14:paraId="0CF8DFF5" w14:textId="77777777" w:rsidTr="00BC2AE2">
        <w:tc>
          <w:tcPr>
            <w:tcW w:w="2739" w:type="dxa"/>
          </w:tcPr>
          <w:p w14:paraId="34D76847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Тип переліку</w:t>
            </w:r>
          </w:p>
        </w:tc>
        <w:tc>
          <w:tcPr>
            <w:tcW w:w="7114" w:type="dxa"/>
          </w:tcPr>
          <w:p w14:paraId="46C84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Перший</w:t>
            </w:r>
          </w:p>
        </w:tc>
      </w:tr>
      <w:tr w:rsidR="003E0791" w:rsidRPr="00107322" w14:paraId="1D979744" w14:textId="77777777" w:rsidTr="00BC2AE2">
        <w:trPr>
          <w:trHeight w:val="429"/>
        </w:trPr>
        <w:tc>
          <w:tcPr>
            <w:tcW w:w="2739" w:type="dxa"/>
          </w:tcPr>
          <w:p w14:paraId="42B46EF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Вартість об'єкта оренди</w:t>
            </w:r>
          </w:p>
        </w:tc>
        <w:tc>
          <w:tcPr>
            <w:tcW w:w="7114" w:type="dxa"/>
          </w:tcPr>
          <w:p w14:paraId="1F1256C5" w14:textId="7701EEB8" w:rsidR="003E0791" w:rsidRPr="003E0791" w:rsidRDefault="007422B4" w:rsidP="005E0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Балансова</w:t>
            </w:r>
            <w:r w:rsidR="003E0791"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вартість об'єкта оренди –</w:t>
            </w:r>
            <w:r w:rsidR="005E0382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197 446 </w:t>
            </w:r>
            <w:r w:rsidR="003E0791" w:rsidRPr="007B7B9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грн.</w:t>
            </w:r>
          </w:p>
        </w:tc>
      </w:tr>
      <w:tr w:rsidR="003E0791" w:rsidRPr="007B7B9A" w14:paraId="6B62DE01" w14:textId="77777777" w:rsidTr="00BC2AE2">
        <w:tc>
          <w:tcPr>
            <w:tcW w:w="2739" w:type="dxa"/>
          </w:tcPr>
          <w:p w14:paraId="5B92BB0E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Тип об’єкта </w:t>
            </w:r>
          </w:p>
        </w:tc>
        <w:tc>
          <w:tcPr>
            <w:tcW w:w="7114" w:type="dxa"/>
          </w:tcPr>
          <w:p w14:paraId="271F007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Нерухоме майно</w:t>
            </w:r>
          </w:p>
        </w:tc>
      </w:tr>
      <w:tr w:rsidR="003E0791" w:rsidRPr="007B7B9A" w14:paraId="79EB3A9B" w14:textId="77777777" w:rsidTr="00BC2AE2">
        <w:tc>
          <w:tcPr>
            <w:tcW w:w="2739" w:type="dxa"/>
          </w:tcPr>
          <w:p w14:paraId="4AEBAC5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Пропонований строк оренди</w:t>
            </w:r>
          </w:p>
        </w:tc>
        <w:tc>
          <w:tcPr>
            <w:tcW w:w="7114" w:type="dxa"/>
          </w:tcPr>
          <w:p w14:paraId="4E3FA008" w14:textId="0C0B44E4" w:rsidR="003E0791" w:rsidRPr="003E0791" w:rsidRDefault="005E0382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  <w:r w:rsidR="007B7B9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років</w:t>
            </w:r>
          </w:p>
        </w:tc>
      </w:tr>
      <w:tr w:rsidR="003E0791" w:rsidRPr="00107322" w14:paraId="6036BCEF" w14:textId="77777777" w:rsidTr="00BC2AE2">
        <w:tc>
          <w:tcPr>
            <w:tcW w:w="2739" w:type="dxa"/>
          </w:tcPr>
          <w:p w14:paraId="5034352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7114" w:type="dxa"/>
          </w:tcPr>
          <w:p w14:paraId="2A5028B7" w14:textId="5549732B" w:rsidR="003E0791" w:rsidRPr="005E0382" w:rsidRDefault="005E0382" w:rsidP="005E038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Рішення сьомої сесії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V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ІІІ скликання  №10 від 18.02.2021року</w:t>
            </w:r>
          </w:p>
        </w:tc>
      </w:tr>
      <w:tr w:rsidR="003E0791" w:rsidRPr="003E0791" w14:paraId="70DCA428" w14:textId="77777777" w:rsidTr="00BC2AE2">
        <w:tc>
          <w:tcPr>
            <w:tcW w:w="2739" w:type="dxa"/>
          </w:tcPr>
          <w:p w14:paraId="2EFB0F7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14:paraId="708D1E9F" w14:textId="77777777" w:rsidR="003E0791" w:rsidRPr="003E0791" w:rsidRDefault="003E0791" w:rsidP="003E0791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Додається</w:t>
            </w:r>
          </w:p>
        </w:tc>
      </w:tr>
      <w:tr w:rsidR="003E0791" w:rsidRPr="00107322" w14:paraId="169E8A4B" w14:textId="77777777" w:rsidTr="00BC2AE2">
        <w:tc>
          <w:tcPr>
            <w:tcW w:w="2739" w:type="dxa"/>
          </w:tcPr>
          <w:p w14:paraId="5B929009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Місцезнаходження об’єкта;</w:t>
            </w:r>
          </w:p>
        </w:tc>
        <w:tc>
          <w:tcPr>
            <w:tcW w:w="7114" w:type="dxa"/>
          </w:tcPr>
          <w:p w14:paraId="20AC8CB4" w14:textId="2E15CD75" w:rsidR="003E0791" w:rsidRPr="003E0791" w:rsidRDefault="00635545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вулиця Л. Українки, будинок 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177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Полонне</w:t>
            </w:r>
            <w:proofErr w:type="spellEnd"/>
            <w:r w:rsidRPr="005E0382">
              <w:rPr>
                <w:rFonts w:ascii="Times New Roman" w:eastAsia="Times New Roman" w:hAnsi="Times New Roman" w:cs="Times New Roman"/>
                <w:lang w:val="uk-UA" w:eastAsia="uk-UA"/>
              </w:rPr>
              <w:t>, Хмельницька область</w:t>
            </w:r>
          </w:p>
        </w:tc>
      </w:tr>
      <w:tr w:rsidR="003E0791" w:rsidRPr="00107322" w14:paraId="398359F4" w14:textId="77777777" w:rsidTr="00BC2AE2">
        <w:tc>
          <w:tcPr>
            <w:tcW w:w="2739" w:type="dxa"/>
          </w:tcPr>
          <w:p w14:paraId="5B2C1BDD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Загальна і корисна площа об’єкта</w:t>
            </w:r>
          </w:p>
        </w:tc>
        <w:tc>
          <w:tcPr>
            <w:tcW w:w="7114" w:type="dxa"/>
          </w:tcPr>
          <w:p w14:paraId="4635C51A" w14:textId="5017A780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Загальна – </w:t>
            </w:r>
            <w:r w:rsidR="00635545" w:rsidRPr="0063554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46</w:t>
            </w:r>
            <w:r w:rsidR="0063554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  <w:p w14:paraId="17D74BCB" w14:textId="5180683B" w:rsidR="003E0791" w:rsidRPr="003E0791" w:rsidRDefault="003E0791" w:rsidP="0063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Корисна – </w:t>
            </w:r>
            <w:r w:rsidR="00635545" w:rsidRPr="0063554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46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кв.м</w:t>
            </w:r>
            <w:proofErr w:type="spellEnd"/>
          </w:p>
        </w:tc>
      </w:tr>
      <w:tr w:rsidR="003E0791" w:rsidRPr="00107322" w14:paraId="3057BF28" w14:textId="77777777" w:rsidTr="00BC2AE2">
        <w:trPr>
          <w:trHeight w:val="424"/>
        </w:trPr>
        <w:tc>
          <w:tcPr>
            <w:tcW w:w="2739" w:type="dxa"/>
          </w:tcPr>
          <w:p w14:paraId="7F1EA9BF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Характеристика об’єкта оренди </w:t>
            </w:r>
          </w:p>
        </w:tc>
        <w:tc>
          <w:tcPr>
            <w:tcW w:w="7114" w:type="dxa"/>
          </w:tcPr>
          <w:p w14:paraId="566308DC" w14:textId="4BF04F8A" w:rsidR="003E0791" w:rsidRPr="003E0791" w:rsidRDefault="007E3C4A" w:rsidP="00635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Нежитлові приміщення загальною площею </w:t>
            </w:r>
            <w:r w:rsidR="00635545" w:rsidRPr="0063554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46</w:t>
            </w:r>
            <w:r w:rsidR="0063554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176CCE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 xml:space="preserve">2 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за </w:t>
            </w:r>
            <w:proofErr w:type="spellStart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адресою</w:t>
            </w:r>
            <w:proofErr w:type="spellEnd"/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</w:t>
            </w:r>
            <w:r w:rsidR="0063554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вулиця Л. Українки, будинок </w:t>
            </w:r>
            <w:r w:rsidR="00635545" w:rsidRPr="005E0382">
              <w:rPr>
                <w:rFonts w:ascii="Times New Roman" w:eastAsia="Times New Roman" w:hAnsi="Times New Roman" w:cs="Times New Roman"/>
                <w:lang w:val="uk-UA" w:eastAsia="uk-UA"/>
              </w:rPr>
              <w:t>177</w:t>
            </w:r>
            <w:r w:rsidR="00635545">
              <w:rPr>
                <w:rFonts w:ascii="Times New Roman" w:eastAsia="Times New Roman" w:hAnsi="Times New Roman" w:cs="Times New Roman"/>
                <w:lang w:val="uk-UA" w:eastAsia="uk-UA"/>
              </w:rPr>
              <w:t>, м.</w:t>
            </w:r>
            <w:r w:rsidR="00635545" w:rsidRPr="005E038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635545" w:rsidRPr="005E0382">
              <w:rPr>
                <w:rFonts w:ascii="Times New Roman" w:eastAsia="Times New Roman" w:hAnsi="Times New Roman" w:cs="Times New Roman"/>
                <w:lang w:val="uk-UA" w:eastAsia="uk-UA"/>
              </w:rPr>
              <w:t>Полонне</w:t>
            </w:r>
            <w:proofErr w:type="spellEnd"/>
            <w:r w:rsidR="00635545" w:rsidRPr="005E0382">
              <w:rPr>
                <w:rFonts w:ascii="Times New Roman" w:eastAsia="Times New Roman" w:hAnsi="Times New Roman" w:cs="Times New Roman"/>
                <w:lang w:val="uk-UA" w:eastAsia="uk-UA"/>
              </w:rPr>
              <w:t>, Хмельницька область</w:t>
            </w:r>
            <w:r w:rsidRPr="00176CCE">
              <w:rPr>
                <w:rFonts w:ascii="Times New Roman" w:eastAsia="Times New Roman" w:hAnsi="Times New Roman" w:cs="Times New Roman"/>
                <w:lang w:val="uk-UA" w:eastAsia="uk-UA"/>
              </w:rPr>
              <w:t>, що обліковуються на балансі</w:t>
            </w:r>
            <w:r w:rsidR="0063554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КНП </w:t>
            </w:r>
            <w:r w:rsidR="00635545" w:rsidRPr="005E0382">
              <w:rPr>
                <w:rFonts w:ascii="Times New Roman" w:eastAsia="Times New Roman" w:hAnsi="Times New Roman" w:cs="Times New Roman"/>
                <w:lang w:val="uk-UA" w:eastAsia="uk-UA"/>
              </w:rPr>
              <w:t>ПОЛОНСЬКА  МЛ  ІМ. Н.С. ГОВОРУН</w:t>
            </w:r>
          </w:p>
        </w:tc>
      </w:tr>
      <w:tr w:rsidR="003E0791" w:rsidRPr="00107322" w14:paraId="7E33C301" w14:textId="77777777" w:rsidTr="00BC2AE2">
        <w:tc>
          <w:tcPr>
            <w:tcW w:w="2739" w:type="dxa"/>
          </w:tcPr>
          <w:p w14:paraId="314D3634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114" w:type="dxa"/>
          </w:tcPr>
          <w:p w14:paraId="7A25261B" w14:textId="4FDF7EEA" w:rsidR="003E0791" w:rsidRPr="00356812" w:rsidRDefault="000D4025" w:rsidP="0027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Обладнане </w:t>
            </w:r>
            <w:r w:rsidR="00FD4F75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системою електропостачання</w:t>
            </w:r>
            <w:r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E664A8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220 </w:t>
            </w:r>
            <w:r w:rsidR="00E664A8" w:rsidRPr="002752E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  <w:r w:rsidR="00356812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38</w:t>
            </w:r>
            <w:r w:rsidR="002752E0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0 </w:t>
            </w:r>
            <w:r w:rsidR="002752E0" w:rsidRPr="002752E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</w:t>
            </w:r>
            <w:r w:rsidR="00635545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356812" w:rsidRP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водопостачання, </w:t>
            </w:r>
            <w:r w:rsidR="002752E0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водовідведення, теплопостачання.</w:t>
            </w:r>
          </w:p>
        </w:tc>
      </w:tr>
      <w:tr w:rsidR="003E0791" w:rsidRPr="003E0791" w14:paraId="2F7A8748" w14:textId="77777777" w:rsidTr="00BC2AE2">
        <w:tc>
          <w:tcPr>
            <w:tcW w:w="2739" w:type="dxa"/>
          </w:tcPr>
          <w:p w14:paraId="22CCFE7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Поверховий план об’єкта </w:t>
            </w:r>
          </w:p>
        </w:tc>
        <w:tc>
          <w:tcPr>
            <w:tcW w:w="7114" w:type="dxa"/>
          </w:tcPr>
          <w:p w14:paraId="2D4AF3DF" w14:textId="2ECFDEEC" w:rsidR="003E0791" w:rsidRPr="003E0791" w:rsidRDefault="002752E0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Відсутній</w:t>
            </w:r>
          </w:p>
        </w:tc>
      </w:tr>
      <w:tr w:rsidR="003E0791" w:rsidRPr="00107322" w14:paraId="34532A7E" w14:textId="77777777" w:rsidTr="00BC2AE2">
        <w:tc>
          <w:tcPr>
            <w:tcW w:w="2739" w:type="dxa"/>
          </w:tcPr>
          <w:p w14:paraId="0AA4A3C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Інформація про те, що об’єктом оренди є пам’ятка культурної спадщини, щойно виявлений об’єкт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культурної спадщини чи його частина </w:t>
            </w:r>
          </w:p>
        </w:tc>
        <w:tc>
          <w:tcPr>
            <w:tcW w:w="7114" w:type="dxa"/>
          </w:tcPr>
          <w:p w14:paraId="692B11B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Об’єкт не є пам’яткою культурної спадщини</w:t>
            </w:r>
          </w:p>
        </w:tc>
      </w:tr>
      <w:tr w:rsidR="003E0791" w:rsidRPr="003E0791" w14:paraId="046C97EE" w14:textId="77777777" w:rsidTr="00BC2AE2">
        <w:tc>
          <w:tcPr>
            <w:tcW w:w="2739" w:type="dxa"/>
          </w:tcPr>
          <w:p w14:paraId="7591E02A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7114" w:type="dxa"/>
          </w:tcPr>
          <w:p w14:paraId="78519487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 потребує</w:t>
            </w:r>
          </w:p>
          <w:p w14:paraId="6CBC072F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3E0791" w:rsidRPr="00107322" w14:paraId="16F06210" w14:textId="77777777" w:rsidTr="00BC2AE2">
        <w:tc>
          <w:tcPr>
            <w:tcW w:w="2739" w:type="dxa"/>
          </w:tcPr>
          <w:p w14:paraId="550D30B2" w14:textId="77777777" w:rsidR="003E0791" w:rsidRPr="003E0791" w:rsidRDefault="003E0791" w:rsidP="003E07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114" w:type="dxa"/>
          </w:tcPr>
          <w:p w14:paraId="7611EF15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Рішення про проведення інвестиційного конкурсу не приймалось</w:t>
            </w:r>
          </w:p>
          <w:p w14:paraId="290DF15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Не включено до переліку майна, що підлягає приватизації </w:t>
            </w:r>
          </w:p>
        </w:tc>
      </w:tr>
      <w:tr w:rsidR="003E0791" w:rsidRPr="00107322" w14:paraId="2D7256E6" w14:textId="77777777" w:rsidTr="00BC2AE2">
        <w:tc>
          <w:tcPr>
            <w:tcW w:w="2739" w:type="dxa"/>
          </w:tcPr>
          <w:p w14:paraId="1EEEAFEB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Проект договору </w:t>
            </w:r>
          </w:p>
        </w:tc>
        <w:tc>
          <w:tcPr>
            <w:tcW w:w="7114" w:type="dxa"/>
          </w:tcPr>
          <w:p w14:paraId="45DF9560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Додається до оголошення про передачу нерухомого майна в оренду </w:t>
            </w:r>
          </w:p>
        </w:tc>
      </w:tr>
      <w:tr w:rsidR="003E0791" w:rsidRPr="00107322" w14:paraId="3F519882" w14:textId="77777777" w:rsidTr="00BC2AE2">
        <w:trPr>
          <w:trHeight w:val="240"/>
        </w:trPr>
        <w:tc>
          <w:tcPr>
            <w:tcW w:w="9853" w:type="dxa"/>
            <w:gridSpan w:val="2"/>
          </w:tcPr>
          <w:p w14:paraId="167C72EC" w14:textId="77777777" w:rsidR="003E0791" w:rsidRPr="003E0791" w:rsidRDefault="003E0791" w:rsidP="003E07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Умови та додаткові умови оренди</w:t>
            </w:r>
          </w:p>
        </w:tc>
      </w:tr>
      <w:tr w:rsidR="003E0791" w:rsidRPr="003E0791" w14:paraId="5A1752EF" w14:textId="77777777" w:rsidTr="00BC2AE2">
        <w:tc>
          <w:tcPr>
            <w:tcW w:w="2739" w:type="dxa"/>
          </w:tcPr>
          <w:p w14:paraId="385485B9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Строк оренди </w:t>
            </w:r>
          </w:p>
        </w:tc>
        <w:tc>
          <w:tcPr>
            <w:tcW w:w="7114" w:type="dxa"/>
          </w:tcPr>
          <w:p w14:paraId="1D9AE386" w14:textId="0F5CD57E" w:rsidR="003E0791" w:rsidRPr="00FD4F75" w:rsidRDefault="00635545" w:rsidP="00FD4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5</w:t>
            </w:r>
            <w:r w:rsidR="00FD4F75" w:rsidRPr="00FD4F75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років</w:t>
            </w:r>
          </w:p>
        </w:tc>
      </w:tr>
      <w:tr w:rsidR="003E0791" w:rsidRPr="00107322" w14:paraId="705AC8B6" w14:textId="77777777" w:rsidTr="00BC2AE2">
        <w:tc>
          <w:tcPr>
            <w:tcW w:w="2739" w:type="dxa"/>
          </w:tcPr>
          <w:p w14:paraId="4BD59110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Стартова орендна плата</w:t>
            </w:r>
          </w:p>
          <w:p w14:paraId="5B2ADE6A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7114" w:type="dxa"/>
          </w:tcPr>
          <w:p w14:paraId="16A36CEA" w14:textId="241F1850" w:rsidR="003E0791" w:rsidRPr="003E0791" w:rsidRDefault="00635545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3554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3 290 </w:t>
            </w:r>
            <w:r w:rsidR="003E0791" w:rsidRPr="0063554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грн</w:t>
            </w:r>
            <w:r w:rsidRPr="00635545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. 77 коп.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Три тисячі двісті дев’яносто гривень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77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), без урахування ПДВ - для електронного аукціону;</w:t>
            </w:r>
          </w:p>
          <w:p w14:paraId="15E7CC57" w14:textId="420D197C" w:rsidR="003E0791" w:rsidRPr="000B066B" w:rsidRDefault="002006F7" w:rsidP="003E079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1 974</w:t>
            </w:r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грн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46 коп.</w:t>
            </w:r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Одна тисяча дев’ятсот сімдесят чотири гривні</w:t>
            </w:r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4</w:t>
            </w:r>
            <w:r w:rsidR="00A303C7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6</w:t>
            </w:r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proofErr w:type="spellStart"/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коп</w:t>
            </w:r>
            <w:proofErr w:type="spellEnd"/>
            <w:r w:rsidR="009046C4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)</w:t>
            </w:r>
            <w:r w:rsidR="003E0791"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, без урахування ПДВ - для електронного аукціону із зниженням стартової ціни</w:t>
            </w:r>
          </w:p>
          <w:p w14:paraId="20A83736" w14:textId="19752A54" w:rsidR="003E0791" w:rsidRPr="002006F7" w:rsidRDefault="002006F7" w:rsidP="002006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006F7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1 974 грн 46 коп. (Одна тисяча дев’ятсот сімдесят чотири гривні 46 </w:t>
            </w:r>
            <w:proofErr w:type="spellStart"/>
            <w:r w:rsidRPr="002006F7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коп</w:t>
            </w:r>
            <w:proofErr w:type="spellEnd"/>
            <w:r w:rsidRPr="002006F7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), без урахування ПДВ</w:t>
            </w:r>
            <w:r w:rsidRPr="000B066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3E0791" w:rsidRPr="00107322" w14:paraId="4BEFB109" w14:textId="77777777" w:rsidTr="00BC2AE2">
        <w:tc>
          <w:tcPr>
            <w:tcW w:w="2739" w:type="dxa"/>
          </w:tcPr>
          <w:p w14:paraId="65D2F3DD" w14:textId="77777777" w:rsidR="003E0791" w:rsidRPr="003E0791" w:rsidRDefault="003E0791" w:rsidP="003E07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7114" w:type="dxa"/>
          </w:tcPr>
          <w:p w14:paraId="68E247F7" w14:textId="3A1B31D9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може бути використано </w:t>
            </w: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цільовим призначенням</w:t>
            </w:r>
          </w:p>
        </w:tc>
      </w:tr>
      <w:tr w:rsidR="003E0791" w:rsidRPr="00107322" w14:paraId="040EBC98" w14:textId="77777777" w:rsidTr="00BC2AE2">
        <w:tc>
          <w:tcPr>
            <w:tcW w:w="2739" w:type="dxa"/>
          </w:tcPr>
          <w:p w14:paraId="45678C19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  <w:p w14:paraId="30766F27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114" w:type="dxa"/>
          </w:tcPr>
          <w:p w14:paraId="4A92FD5D" w14:textId="1735A2E5" w:rsidR="003E0791" w:rsidRPr="003E0791" w:rsidRDefault="00DE0D9F" w:rsidP="00356812">
            <w:pPr>
              <w:spacing w:after="0"/>
              <w:ind w:left="-17"/>
              <w:rPr>
                <w:rFonts w:ascii="Calibri" w:eastAsia="Times New Roman" w:hAnsi="Calibri" w:cs="Calibri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>ільов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е призначення</w:t>
            </w:r>
            <w:r w:rsidR="00E70A51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– </w:t>
            </w:r>
            <w:r w:rsidR="00AB503B">
              <w:rPr>
                <w:rFonts w:ascii="Times New Roman" w:eastAsia="Times New Roman" w:hAnsi="Times New Roman" w:cs="Times New Roman"/>
                <w:lang w:val="uk-UA" w:eastAsia="uk-UA"/>
              </w:rPr>
              <w:t>п</w:t>
            </w:r>
            <w:r w:rsidR="00AB503B" w:rsidRPr="00AB503B">
              <w:rPr>
                <w:rFonts w:ascii="Times New Roman" w:eastAsia="Times New Roman" w:hAnsi="Times New Roman" w:cs="Times New Roman"/>
                <w:lang w:val="uk-UA" w:eastAsia="uk-UA"/>
              </w:rPr>
              <w:t>ослуги у сфері охорони здоров’я, а саме послуги комп’ютерної томографії</w:t>
            </w:r>
          </w:p>
        </w:tc>
      </w:tr>
      <w:tr w:rsidR="007422B4" w:rsidRPr="00107322" w14:paraId="568963B1" w14:textId="77777777" w:rsidTr="00BC2AE2">
        <w:tc>
          <w:tcPr>
            <w:tcW w:w="2739" w:type="dxa"/>
          </w:tcPr>
          <w:p w14:paraId="4465C499" w14:textId="77777777" w:rsidR="007422B4" w:rsidRPr="003E0791" w:rsidRDefault="007422B4" w:rsidP="0074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Додаткові умови оренди майна </w:t>
            </w:r>
          </w:p>
        </w:tc>
        <w:tc>
          <w:tcPr>
            <w:tcW w:w="7114" w:type="dxa"/>
          </w:tcPr>
          <w:p w14:paraId="1BB390BC" w14:textId="3EF02676" w:rsidR="007422B4" w:rsidRDefault="002752E0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Термін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п</w:t>
            </w:r>
            <w:r>
              <w:rPr>
                <w:rFonts w:ascii="Times New Roman" w:hAnsi="Times New Roman"/>
                <w:color w:val="000000"/>
                <w:lang w:val="uk-UA"/>
              </w:rPr>
              <w:t>’ять</w:t>
            </w:r>
            <w:r w:rsidR="007422B4" w:rsidRPr="00863F7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422B4" w:rsidRPr="00863F7E">
              <w:rPr>
                <w:rFonts w:ascii="Times New Roman" w:hAnsi="Times New Roman"/>
                <w:color w:val="000000"/>
              </w:rPr>
              <w:t>рік</w:t>
            </w:r>
            <w:r>
              <w:rPr>
                <w:rFonts w:ascii="Times New Roman" w:hAnsi="Times New Roman"/>
                <w:color w:val="000000"/>
                <w:lang w:val="uk-UA"/>
              </w:rPr>
              <w:t>ів</w:t>
            </w:r>
            <w:proofErr w:type="spellEnd"/>
            <w:r w:rsidR="007422B4" w:rsidRPr="00863F7E">
              <w:rPr>
                <w:rFonts w:ascii="Times New Roman" w:hAnsi="Times New Roman"/>
                <w:color w:val="000000"/>
              </w:rPr>
              <w:t>.</w:t>
            </w:r>
          </w:p>
          <w:p w14:paraId="52C43312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встановити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комп’ютерний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томограф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пізніше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одного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місяця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моменту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приміщення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Характеристики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комп’ютерного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томографа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повинні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вимогам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серцево-судинних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досліджень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вирішення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клінічних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питань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кардіології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особливо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візуалізації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: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можливість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менше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128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зрізів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за один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оберт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час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оберту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270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мс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площа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анатомічного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покриття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8 см,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технологій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дозволяють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знімок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найменшу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скорочень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мінімізацією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впливу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серцевого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ритму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аритмії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BE80AE9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здійсненні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пов'язаної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дозволи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ліцензії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повинен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надати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копії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дозвільних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підтверджують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здійснення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</w:p>
          <w:p w14:paraId="1FF77087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належний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санітарний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протипожежний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стан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існуючих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санітарних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норм, правил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пожежної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техніки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існуючих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 і правил 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нести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відповідальність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перед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збитки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спричинені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недотриманням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вище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перелічених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норм і правил.</w:t>
            </w:r>
          </w:p>
          <w:p w14:paraId="72A4A363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в строк</w:t>
            </w:r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передбачений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Договором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прийняти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орендне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користування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і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ухилятись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Актів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прийому-передачі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7422B4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підписанні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наполягає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зв’язку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Договором.</w:t>
            </w:r>
          </w:p>
          <w:p w14:paraId="311CFD9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попередньо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згоду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проведення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будівельних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робіт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зміні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влаштування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додаткових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зовнішніх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внутрішніх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в тому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числі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прихованих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систем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комунікацій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039174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дбайливо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ставитися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він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розташований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 та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майна</w:t>
            </w:r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яке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знаходиться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допускати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втрати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негайно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повідомляти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про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аварії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події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внаслідок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нанесені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можуть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бути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нанесені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збитки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своєчасно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вжити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можливих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заходів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щодо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запобігання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знищення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; </w:t>
            </w:r>
          </w:p>
          <w:p w14:paraId="693E793F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відшкодувати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Орендодавцю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шкоду,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заподіяну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внаслідок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умислу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недбалості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неналежного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виконання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цього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договору, у тому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числі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залучених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ним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працівників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заподіяння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шкоди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умовах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крайньої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всіх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випадках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повного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частково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пошкодження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зруйновання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якщо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постраждав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працівників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агентів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підрядників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відвідувачів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запрошених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контрагентів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1CBE5528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використовувати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адресу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як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юридичну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адресу без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отримання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попередньої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письмової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згоди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CD5AF41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уповноваженим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особами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безперешкодний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доступ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перевірки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</w:t>
            </w:r>
          </w:p>
          <w:p w14:paraId="3CB134A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забезпечити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власними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силами та за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рахунок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охорону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власного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майна,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знаходиться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753D6439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правил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добросусідства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4F3AC71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дотримуватися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захист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споживачів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сфері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охорони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здоров’я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1CF44B85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обмежувати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доступі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інженерних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мереж,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комунікацій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випадку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Орендарем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України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6301ED74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односторонньому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договір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самотужки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або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із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залученням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третіх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звільнити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майна 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порушенням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останнім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яких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умов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</w:t>
            </w:r>
          </w:p>
          <w:p w14:paraId="5BFF678F" w14:textId="77777777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При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виникненні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необхідності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реконструкції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будівлі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Орендодавець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має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право в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односторонньому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достроково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договір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у будь-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який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момент, про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що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буде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попереджено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за один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місяць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дня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розірвання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договору. </w:t>
            </w:r>
          </w:p>
          <w:p w14:paraId="0F33EFF6" w14:textId="7AD6E118" w:rsidR="007422B4" w:rsidRPr="007422B4" w:rsidRDefault="007422B4" w:rsidP="007422B4">
            <w:pPr>
              <w:numPr>
                <w:ilvl w:val="0"/>
                <w:numId w:val="2"/>
              </w:numPr>
              <w:spacing w:before="120" w:after="0" w:line="240" w:lineRule="auto"/>
              <w:ind w:left="152" w:firstLine="208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вимогу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Орендодавця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Орендар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422B4">
              <w:rPr>
                <w:rFonts w:ascii="Times New Roman" w:hAnsi="Times New Roman"/>
                <w:color w:val="000000"/>
                <w:lang w:val="ru-RU"/>
              </w:rPr>
              <w:t>зобов’язаний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призупинити</w:t>
            </w:r>
            <w:proofErr w:type="spellEnd"/>
            <w:proofErr w:type="gram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Об’єкта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період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проведення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капітального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ремонту та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звільнити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Об’єкт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оренди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завершення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22B4">
              <w:rPr>
                <w:rFonts w:ascii="Times New Roman" w:hAnsi="Times New Roman"/>
                <w:color w:val="000000"/>
                <w:lang w:val="ru-RU"/>
              </w:rPr>
              <w:t>капітального</w:t>
            </w:r>
            <w:proofErr w:type="spellEnd"/>
            <w:r w:rsidRPr="007422B4">
              <w:rPr>
                <w:rFonts w:ascii="Times New Roman" w:hAnsi="Times New Roman"/>
                <w:color w:val="000000"/>
                <w:lang w:val="ru-RU"/>
              </w:rPr>
              <w:t xml:space="preserve"> ремонту. </w:t>
            </w:r>
          </w:p>
        </w:tc>
      </w:tr>
      <w:tr w:rsidR="003E0791" w:rsidRPr="00107322" w14:paraId="414C4E7D" w14:textId="77777777" w:rsidTr="00BC2AE2">
        <w:tc>
          <w:tcPr>
            <w:tcW w:w="2739" w:type="dxa"/>
          </w:tcPr>
          <w:p w14:paraId="6FC2676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Письмова згода на передачу майна в суборенду відповідно до п. 169 Порядку</w:t>
            </w:r>
          </w:p>
        </w:tc>
        <w:tc>
          <w:tcPr>
            <w:tcW w:w="7114" w:type="dxa"/>
          </w:tcPr>
          <w:p w14:paraId="100595B1" w14:textId="7DC57FAA" w:rsidR="003E0791" w:rsidRPr="003E0791" w:rsidRDefault="003E0791" w:rsidP="00FD4F75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Майно передається в оренду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бе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з </w:t>
            </w:r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права передачі в суборенду</w:t>
            </w:r>
          </w:p>
        </w:tc>
      </w:tr>
      <w:tr w:rsidR="003E0791" w:rsidRPr="003E0791" w14:paraId="4CB8183C" w14:textId="77777777" w:rsidTr="00BC2AE2">
        <w:tc>
          <w:tcPr>
            <w:tcW w:w="2739" w:type="dxa"/>
          </w:tcPr>
          <w:p w14:paraId="276BEB2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Вимоги до орендаря</w:t>
            </w:r>
          </w:p>
        </w:tc>
        <w:tc>
          <w:tcPr>
            <w:tcW w:w="7114" w:type="dxa"/>
          </w:tcPr>
          <w:p w14:paraId="7229E80C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E0791" w:rsidRPr="00107322" w14:paraId="29654666" w14:textId="77777777" w:rsidTr="00BC2AE2">
        <w:tc>
          <w:tcPr>
            <w:tcW w:w="2739" w:type="dxa"/>
          </w:tcPr>
          <w:p w14:paraId="4D8683A6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7114" w:type="dxa"/>
          </w:tcPr>
          <w:p w14:paraId="3C754694" w14:textId="128F1010" w:rsidR="003E0791" w:rsidRPr="003E0791" w:rsidRDefault="0010732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Буджерак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Іванна Петрівна</w:t>
            </w:r>
          </w:p>
          <w:p w14:paraId="2A44998C" w14:textId="77777777" w:rsidR="00107322" w:rsidRDefault="00C13586" w:rsidP="0010732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997B50">
              <w:rPr>
                <w:rFonts w:ascii="Times New Roman" w:eastAsia="Times New Roman" w:hAnsi="Times New Roman" w:cs="Times New Roman"/>
                <w:lang w:val="uk-UA" w:eastAsia="uk-UA"/>
              </w:rPr>
              <w:t>Т</w:t>
            </w:r>
            <w:r w:rsidR="003E0791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ел</w:t>
            </w:r>
            <w:proofErr w:type="spellEnd"/>
            <w:r w:rsidR="00FD4F75">
              <w:rPr>
                <w:rFonts w:ascii="Times New Roman" w:eastAsia="Times New Roman" w:hAnsi="Times New Roman" w:cs="Times New Roman"/>
                <w:lang w:val="uk-UA" w:eastAsia="uk-UA"/>
              </w:rPr>
              <w:t>. +380</w:t>
            </w:r>
            <w:r w:rsidR="00107322">
              <w:rPr>
                <w:rFonts w:ascii="Times New Roman" w:eastAsia="Times New Roman" w:hAnsi="Times New Roman" w:cs="Times New Roman"/>
                <w:lang w:val="uk-UA" w:eastAsia="uk-UA"/>
              </w:rPr>
              <w:t>689521059</w:t>
            </w:r>
          </w:p>
          <w:p w14:paraId="65843B0D" w14:textId="066F0706" w:rsidR="00581A72" w:rsidRPr="001602F7" w:rsidRDefault="00107322" w:rsidP="0010732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polcrl</w:t>
            </w:r>
            <w:proofErr w:type="spellEnd"/>
            <w:r w:rsidR="00AB503B" w:rsidRPr="001602F7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="00AB503B" w:rsidRPr="00AB503B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AB503B" w:rsidRPr="001602F7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AB503B" w:rsidRPr="00AB503B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begin"/>
            </w:r>
            <w:r w:rsidR="00581A72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HYPERLINK "mailto:dunets@km-oblrada.gov.ua</w:instrText>
            </w:r>
          </w:p>
          <w:p w14:paraId="1CDA459B" w14:textId="352EF6FB" w:rsidR="00581A72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instrText xml:space="preserve">" </w:instrTex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separate"/>
            </w:r>
          </w:p>
          <w:p w14:paraId="384AD1F4" w14:textId="7CAD03A7" w:rsidR="003E0791" w:rsidRPr="003E0791" w:rsidRDefault="00581A72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Style w:val="a3"/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fldChar w:fldCharType="end"/>
            </w:r>
          </w:p>
        </w:tc>
      </w:tr>
      <w:tr w:rsidR="003E0791" w:rsidRPr="00107322" w14:paraId="51F2AF35" w14:textId="77777777" w:rsidTr="00BC2AE2">
        <w:tc>
          <w:tcPr>
            <w:tcW w:w="2739" w:type="dxa"/>
          </w:tcPr>
          <w:p w14:paraId="2D4A78D8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аукціон (спосіб та дата)</w:t>
            </w:r>
          </w:p>
          <w:p w14:paraId="1D0ABC61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114" w:type="dxa"/>
          </w:tcPr>
          <w:p w14:paraId="3FE99AC6" w14:textId="6A697BFC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Дата  аукціону </w:t>
            </w:r>
            <w:r w:rsidR="007D5043"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– </w:t>
            </w:r>
            <w:r w:rsidR="00381753" w:rsidRPr="00381753">
              <w:rPr>
                <w:rFonts w:ascii="Times New Roman" w:eastAsia="Times New Roman" w:hAnsi="Times New Roman" w:cs="Times New Roman"/>
                <w:lang w:val="ru-RU" w:eastAsia="uk-UA"/>
              </w:rPr>
              <w:t>03</w:t>
            </w:r>
            <w:r w:rsidR="001079E2" w:rsidRPr="00F06615">
              <w:rPr>
                <w:rFonts w:ascii="Times New Roman" w:eastAsia="Times New Roman" w:hAnsi="Times New Roman" w:cs="Times New Roman"/>
                <w:lang w:val="ru-RU" w:eastAsia="uk-UA"/>
              </w:rPr>
              <w:t>.0</w:t>
            </w:r>
            <w:r w:rsidR="00381753" w:rsidRPr="00381753">
              <w:rPr>
                <w:rFonts w:ascii="Times New Roman" w:eastAsia="Times New Roman" w:hAnsi="Times New Roman" w:cs="Times New Roman"/>
                <w:lang w:val="ru-RU" w:eastAsia="uk-UA"/>
              </w:rPr>
              <w:t>5</w:t>
            </w:r>
            <w:bookmarkStart w:id="0" w:name="_GoBack"/>
            <w:bookmarkEnd w:id="0"/>
            <w:r w:rsidR="00B132C8" w:rsidRPr="00F06615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  <w:r w:rsidRPr="00F06615">
              <w:rPr>
                <w:rFonts w:ascii="Times New Roman" w:eastAsia="Times New Roman" w:hAnsi="Times New Roman" w:cs="Times New Roman"/>
                <w:lang w:val="uk-UA" w:eastAsia="uk-UA"/>
              </w:rPr>
              <w:t>202</w:t>
            </w:r>
            <w:r w:rsidR="00C8210C" w:rsidRPr="00F06615">
              <w:rPr>
                <w:rFonts w:ascii="Times New Roman" w:eastAsia="Times New Roman" w:hAnsi="Times New Roman" w:cs="Times New Roman"/>
                <w:lang w:val="uk-UA" w:eastAsia="uk-UA"/>
              </w:rPr>
              <w:t>1</w:t>
            </w:r>
            <w:r w:rsidRPr="005D5B2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Час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14:paraId="7FE366FB" w14:textId="34434411" w:rsidR="003E0791" w:rsidRPr="003E0791" w:rsidRDefault="003E0791" w:rsidP="0010732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Кінцевий строк подання заяви на участь в аукціоні                             встановлюється електронною торговою системою для кожного електронного аукц</w:t>
            </w:r>
            <w:r w:rsidR="00107322">
              <w:rPr>
                <w:rFonts w:ascii="Times New Roman" w:eastAsia="Times New Roman" w:hAnsi="Times New Roman" w:cs="Times New Roman"/>
                <w:lang w:val="uk-UA" w:eastAsia="uk-UA"/>
              </w:rPr>
              <w:t>іону окремо в проміжку часу з 1</w:t>
            </w:r>
            <w:r w:rsidR="00107322" w:rsidRPr="00107322">
              <w:rPr>
                <w:rFonts w:ascii="Times New Roman" w:eastAsia="Times New Roman" w:hAnsi="Times New Roman" w:cs="Times New Roman"/>
                <w:lang w:val="ru-RU" w:eastAsia="uk-UA"/>
              </w:rPr>
              <w:t>6-</w:t>
            </w:r>
            <w:r w:rsidR="00107322">
              <w:rPr>
                <w:rFonts w:ascii="Times New Roman" w:eastAsia="Times New Roman" w:hAnsi="Times New Roman" w:cs="Times New Roman"/>
                <w:lang w:val="uk-UA" w:eastAsia="uk-UA"/>
              </w:rPr>
              <w:t>30 до 17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-30 години дня, що передує дню проведення електронного аукціону.</w:t>
            </w:r>
          </w:p>
        </w:tc>
      </w:tr>
      <w:tr w:rsidR="003E0791" w:rsidRPr="00107322" w14:paraId="7094E3B4" w14:textId="77777777" w:rsidTr="00BC2AE2">
        <w:tc>
          <w:tcPr>
            <w:tcW w:w="2739" w:type="dxa"/>
          </w:tcPr>
          <w:p w14:paraId="6638603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14:paraId="1BCF0CC6" w14:textId="7ABCE518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мінімального кроку підвищення стартової орендної плати під час аукціону  1% стартової орендної плати – </w:t>
            </w:r>
            <w:r w:rsidR="00F06615" w:rsidRPr="00F06615">
              <w:rPr>
                <w:rFonts w:ascii="Times New Roman" w:eastAsia="Times New Roman" w:hAnsi="Times New Roman" w:cs="Times New Roman"/>
                <w:lang w:val="ru-RU" w:eastAsia="uk-UA"/>
              </w:rPr>
              <w:t>19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грн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. </w:t>
            </w:r>
            <w:r w:rsidR="00F06615" w:rsidRPr="00F06615">
              <w:rPr>
                <w:rFonts w:ascii="Times New Roman" w:eastAsia="Times New Roman" w:hAnsi="Times New Roman" w:cs="Times New Roman"/>
                <w:lang w:val="ru-RU" w:eastAsia="uk-UA"/>
              </w:rPr>
              <w:t>74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коп.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 ( </w:t>
            </w:r>
            <w:r w:rsidR="00F06615" w:rsidRPr="00F06615">
              <w:rPr>
                <w:rFonts w:ascii="Times New Roman" w:eastAsia="Times New Roman" w:hAnsi="Times New Roman" w:cs="Times New Roman"/>
                <w:lang w:val="uk-UA" w:eastAsia="uk-UA"/>
              </w:rPr>
              <w:t>Дев'ятнадцять гривень 74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); </w:t>
            </w:r>
          </w:p>
          <w:p w14:paraId="7129BAA7" w14:textId="4561FEB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Розмір гарантійного внеску – 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3 948 </w:t>
            </w:r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грн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92 коп.</w:t>
            </w:r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(</w:t>
            </w:r>
            <w:r w:rsidR="001602F7">
              <w:rPr>
                <w:rFonts w:ascii="Times New Roman" w:eastAsia="Times New Roman" w:hAnsi="Times New Roman" w:cs="Times New Roman"/>
                <w:lang w:val="uk-UA" w:eastAsia="uk-UA"/>
              </w:rPr>
              <w:t>Три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>тис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>ячі дев’ятсот сорок вісім</w:t>
            </w:r>
            <w:r w:rsidR="00A303C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грив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>ень</w:t>
            </w:r>
            <w:r w:rsidR="00A303C7" w:rsidRPr="00997B50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>92</w:t>
            </w:r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="00A303C7" w:rsidRPr="003E0791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;</w:t>
            </w:r>
          </w:p>
          <w:p w14:paraId="5C24029A" w14:textId="6BDD22A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Розмі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р реєстраційного внеску – 600,00 грн (Шістсот грн. 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0 </w:t>
            </w:r>
            <w:proofErr w:type="spellStart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коп</w:t>
            </w:r>
            <w:proofErr w:type="spellEnd"/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);</w:t>
            </w:r>
          </w:p>
          <w:p w14:paraId="3B503739" w14:textId="550C5C83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Кількість кроків аукціону за методом покрокового </w:t>
            </w:r>
            <w:r w:rsidR="00F06615">
              <w:rPr>
                <w:rFonts w:ascii="Times New Roman" w:eastAsia="Times New Roman" w:hAnsi="Times New Roman" w:cs="Times New Roman"/>
                <w:lang w:val="uk-UA" w:eastAsia="uk-UA"/>
              </w:rPr>
              <w:t>підвищення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стартової орендної плати та подальшого подання цінових пропозицій - </w:t>
            </w:r>
            <w:r w:rsidR="00356812">
              <w:rPr>
                <w:rFonts w:ascii="Times New Roman" w:eastAsia="Times New Roman" w:hAnsi="Times New Roman" w:cs="Times New Roman"/>
                <w:lang w:val="uk-UA" w:eastAsia="uk-UA"/>
              </w:rPr>
              <w:t>10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0F6353DC" w14:textId="6F2E5052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uk-UA"/>
              </w:rPr>
            </w:pPr>
          </w:p>
        </w:tc>
      </w:tr>
    </w:tbl>
    <w:p w14:paraId="1AF066DB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p w14:paraId="13A699C8" w14:textId="77777777" w:rsidR="003E0791" w:rsidRPr="003E0791" w:rsidRDefault="003E0791" w:rsidP="003E0791">
      <w:pPr>
        <w:spacing w:after="200" w:line="276" w:lineRule="auto"/>
        <w:rPr>
          <w:rFonts w:ascii="Calibri" w:eastAsia="Times New Roman" w:hAnsi="Calibri" w:cs="Calibri"/>
          <w:lang w:val="uk-UA" w:eastAsia="uk-UA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9"/>
        <w:gridCol w:w="7114"/>
      </w:tblGrid>
      <w:tr w:rsidR="003E0791" w:rsidRPr="00107322" w14:paraId="5ACB2B01" w14:textId="77777777" w:rsidTr="00BC2AE2">
        <w:tc>
          <w:tcPr>
            <w:tcW w:w="2739" w:type="dxa"/>
          </w:tcPr>
          <w:p w14:paraId="7966464D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Додаткова інформація</w:t>
            </w:r>
          </w:p>
        </w:tc>
        <w:tc>
          <w:tcPr>
            <w:tcW w:w="7114" w:type="dxa"/>
          </w:tcPr>
          <w:p w14:paraId="25CD55A7" w14:textId="250C67CD" w:rsidR="00490948" w:rsidRPr="003E0791" w:rsidRDefault="003E0791" w:rsidP="00AF27B7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Організатор аукціону: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F27B7" w:rsidRPr="00AF27B7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Полонської міської ради «Полонська міська багатопрофільна лікарня ім. Наталії Савеліївни Говорун»</w:t>
            </w:r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код ЄДРПОУ </w:t>
            </w:r>
            <w:r w:rsidR="00AF27B7" w:rsidRPr="00AF27B7">
              <w:rPr>
                <w:rFonts w:ascii="Times New Roman" w:eastAsia="Times New Roman" w:hAnsi="Times New Roman" w:cs="Times New Roman"/>
                <w:lang w:val="uk-UA" w:eastAsia="uk-UA"/>
              </w:rPr>
              <w:t>02004404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місцезнаходження: </w:t>
            </w:r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>30500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,    м.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>Полонне</w:t>
            </w:r>
            <w:proofErr w:type="spellEnd"/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вулиця </w:t>
            </w:r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>Лесі Українки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, будинок </w:t>
            </w:r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>177</w:t>
            </w:r>
            <w:r w:rsidR="00C1060F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42A98F20" w14:textId="24C4D2FC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Часи роботи: з </w:t>
            </w:r>
            <w:r w:rsidR="00AF27B7">
              <w:rPr>
                <w:rFonts w:ascii="Times New Roman" w:eastAsia="Times New Roman" w:hAnsi="Times New Roman" w:cs="Times New Roman"/>
                <w:lang w:val="uk-UA" w:eastAsia="uk-UA"/>
              </w:rPr>
              <w:t>8.3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0 до 1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>7.00 (крім суботи та неділі).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  <w:p w14:paraId="7DE49FCE" w14:textId="4A0C0946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Телефон для довідок:</w:t>
            </w:r>
            <w:r w:rsidR="00B76017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B76017"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0</w:t>
            </w:r>
            <w:r w:rsidR="00AF27B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689521059</w:t>
            </w:r>
            <w:r w:rsidRPr="00B76017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 </w:t>
            </w:r>
          </w:p>
          <w:p w14:paraId="46D3923A" w14:textId="128FDD57" w:rsidR="003E0791" w:rsidRPr="00490948" w:rsidRDefault="003E0791" w:rsidP="00B7601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Адреса електронної пошти</w:t>
            </w:r>
            <w:r w:rsidR="00FA028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="00AF27B7">
              <w:rPr>
                <w:rFonts w:ascii="Times New Roman" w:eastAsia="Times New Roman" w:hAnsi="Times New Roman" w:cs="Times New Roman"/>
                <w:lang w:eastAsia="uk-UA"/>
              </w:rPr>
              <w:t>polcrl</w:t>
            </w:r>
            <w:proofErr w:type="spellEnd"/>
            <w:r w:rsidR="00C369AA" w:rsidRPr="00C369AA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proofErr w:type="spellStart"/>
            <w:r w:rsidR="00C369AA" w:rsidRPr="00AB503B">
              <w:rPr>
                <w:rFonts w:ascii="Times New Roman" w:eastAsia="Times New Roman" w:hAnsi="Times New Roman" w:cs="Times New Roman"/>
                <w:lang w:eastAsia="uk-UA"/>
              </w:rPr>
              <w:t>ukr</w:t>
            </w:r>
            <w:proofErr w:type="spellEnd"/>
            <w:r w:rsidR="00C369AA" w:rsidRPr="00C369AA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="00C369AA" w:rsidRPr="00AB503B">
              <w:rPr>
                <w:rFonts w:ascii="Times New Roman" w:eastAsia="Times New Roman" w:hAnsi="Times New Roman" w:cs="Times New Roman"/>
                <w:lang w:eastAsia="uk-UA"/>
              </w:rPr>
              <w:t>net</w:t>
            </w:r>
            <w:r w:rsidR="00B76017" w:rsidRPr="00997B50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uk-UA"/>
              </w:rPr>
              <w:t xml:space="preserve"> </w:t>
            </w:r>
          </w:p>
          <w:p w14:paraId="3D9DA698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Час і місце проведення огляду об’єкту: у робочі дні за місцезнаходженням об’єкту. Заяви на огляд приймаються на електрону пошту організатора аукціону.</w:t>
            </w:r>
          </w:p>
          <w:p w14:paraId="640CE1CB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14:paraId="5D3F1B03" w14:textId="77777777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14:paraId="58FC1C01" w14:textId="794D79C9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 </w:t>
            </w:r>
            <w:hyperlink r:id="rId6" w:history="1">
              <w:r w:rsidR="00B76017" w:rsidRPr="00A02C19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https://prozo</w:t>
              </w:r>
              <w:r w:rsidR="00B76017" w:rsidRPr="00A02C19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r</w:t>
              </w:r>
              <w:r w:rsidR="00B76017" w:rsidRPr="00A02C19">
                <w:rPr>
                  <w:rStyle w:val="a3"/>
                  <w:rFonts w:ascii="Times New Roman" w:eastAsia="Times New Roman" w:hAnsi="Times New Roman" w:cs="Times New Roman"/>
                  <w:lang w:val="uk-UA" w:eastAsia="uk-UA"/>
                </w:rPr>
                <w:t>ro.sale/info/elektronni-majdanchiki-ets-prozorroprodazhi-cbd2</w:t>
              </w:r>
            </w:hyperlink>
          </w:p>
        </w:tc>
      </w:tr>
      <w:tr w:rsidR="003E0791" w:rsidRPr="00381753" w14:paraId="00C4B560" w14:textId="77777777" w:rsidTr="00BC2AE2">
        <w:tc>
          <w:tcPr>
            <w:tcW w:w="2739" w:type="dxa"/>
          </w:tcPr>
          <w:p w14:paraId="3F3D9AA2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Інша додаткова інформація</w:t>
            </w:r>
          </w:p>
        </w:tc>
        <w:tc>
          <w:tcPr>
            <w:tcW w:w="7114" w:type="dxa"/>
          </w:tcPr>
          <w:p w14:paraId="52317E03" w14:textId="77777777" w:rsidR="003E0791" w:rsidRDefault="00C9154F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Орендар зобов’язаний застрахувати орендоване майно згідно з </w:t>
            </w:r>
            <w:r w:rsidR="00016FE0">
              <w:rPr>
                <w:rFonts w:ascii="Times New Roman" w:eastAsia="Times New Roman" w:hAnsi="Times New Roman" w:cs="Times New Roman"/>
                <w:lang w:val="uk-UA" w:eastAsia="uk-UA"/>
              </w:rPr>
              <w:t>законодавством.</w:t>
            </w:r>
          </w:p>
          <w:p w14:paraId="52494839" w14:textId="4EFC25EE" w:rsidR="00490948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Реквізити для перерахування </w:t>
            </w:r>
            <w:r w:rsidR="00C8210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операторами електронних майданчиків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реєстраційного та гарантійного внеску </w:t>
            </w:r>
          </w:p>
          <w:p w14:paraId="3097BF69" w14:textId="77777777" w:rsidR="00AF27B7" w:rsidRPr="00AF27B7" w:rsidRDefault="00EF3F06" w:rsidP="00AF27B7">
            <w:pPr>
              <w:spacing w:line="276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Од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ержувач </w:t>
            </w:r>
            <w:r w:rsidR="00AF27B7" w:rsidRPr="00AF27B7">
              <w:rPr>
                <w:rFonts w:ascii="Times New Roman" w:eastAsia="Times New Roman" w:hAnsi="Times New Roman" w:cs="Times New Roman"/>
                <w:lang w:val="uk-UA" w:eastAsia="uk-UA"/>
              </w:rPr>
              <w:t>Комунальне некомерційне підприємство Полонської міської ради «Полонська міська багатопрофільна лікарня ім. Наталії Савеліївни Говорун»</w:t>
            </w:r>
          </w:p>
          <w:p w14:paraId="2C288673" w14:textId="08F58DAE" w:rsidR="00490948" w:rsidRPr="00AF27B7" w:rsidRDefault="00490948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Рахунок 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275714">
              <w:rPr>
                <w:rFonts w:ascii="Times New Roman" w:eastAsia="Times New Roman" w:hAnsi="Times New Roman" w:cs="Times New Roman"/>
                <w:lang w:eastAsia="uk-UA"/>
              </w:rPr>
              <w:t>UA</w:t>
            </w:r>
            <w:r w:rsidR="00275714" w:rsidRPr="00381753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AF27B7" w:rsidRPr="00AF27B7">
              <w:rPr>
                <w:rFonts w:ascii="Times New Roman" w:eastAsia="Times New Roman" w:hAnsi="Times New Roman" w:cs="Times New Roman"/>
                <w:lang w:val="uk-UA" w:eastAsia="uk-UA"/>
              </w:rPr>
              <w:t>583154050000026002052319616</w:t>
            </w:r>
          </w:p>
          <w:p w14:paraId="5895F281" w14:textId="4E76038B" w:rsidR="00EF3F06" w:rsidRPr="00275714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Банк одержува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ча АТ КБ «ПРИВАТБАНК» (ЄДРПОУ банку 14360570,код банку </w:t>
            </w:r>
            <w:r w:rsidR="00381753" w:rsidRPr="00381753">
              <w:rPr>
                <w:rFonts w:ascii="Times New Roman" w:eastAsia="Times New Roman" w:hAnsi="Times New Roman" w:cs="Times New Roman"/>
                <w:lang w:val="uk-UA" w:eastAsia="uk-UA"/>
              </w:rPr>
              <w:t>305299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  <w:p w14:paraId="39620774" w14:textId="308F58C4" w:rsidR="00EF3F06" w:rsidRPr="00490948" w:rsidRDefault="00EF3F06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3E0791" w:rsidRPr="00381753" w14:paraId="3DFD4717" w14:textId="77777777" w:rsidTr="00BC2AE2">
        <w:tc>
          <w:tcPr>
            <w:tcW w:w="2739" w:type="dxa"/>
          </w:tcPr>
          <w:p w14:paraId="156EDB40" w14:textId="77777777" w:rsidR="003E0791" w:rsidRPr="003E0791" w:rsidRDefault="003E0791" w:rsidP="003E0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 xml:space="preserve">Технічні реквізити оголошення </w:t>
            </w:r>
          </w:p>
        </w:tc>
        <w:tc>
          <w:tcPr>
            <w:tcW w:w="7114" w:type="dxa"/>
          </w:tcPr>
          <w:p w14:paraId="58DDE2A4" w14:textId="77777777" w:rsidR="003E0791" w:rsidRPr="003E0791" w:rsidRDefault="003E0791" w:rsidP="003E0791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майданчика: </w:t>
            </w:r>
            <w:hyperlink r:id="rId7" w:history="1"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https://</w:t>
              </w:r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p</w:t>
              </w:r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r</w:t>
              </w:r>
              <w:r w:rsidRPr="003E0791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uk-UA"/>
                </w:rPr>
                <w:t>ozorro.sale/info/elektronni-majdanchiki-ets-prozorroprodazhi-cbd2</w:t>
              </w:r>
            </w:hyperlink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14:paraId="534CA25A" w14:textId="21895B9B" w:rsidR="003E0791" w:rsidRPr="003E0791" w:rsidRDefault="003E0791" w:rsidP="003E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Аукціон буде проведено в електронній т</w:t>
            </w:r>
            <w:r w:rsidR="00275714">
              <w:rPr>
                <w:rFonts w:ascii="Times New Roman" w:eastAsia="Times New Roman" w:hAnsi="Times New Roman" w:cs="Times New Roman"/>
                <w:lang w:val="uk-UA" w:eastAsia="uk-UA"/>
              </w:rPr>
              <w:t>орговій системі «</w:t>
            </w:r>
            <w:r w:rsidR="00381753" w:rsidRPr="00381753">
              <w:rPr>
                <w:rFonts w:ascii="Times New Roman" w:eastAsia="Times New Roman" w:hAnsi="Times New Roman" w:cs="Times New Roman"/>
                <w:lang w:val="uk-UA" w:eastAsia="uk-UA"/>
              </w:rPr>
              <w:t>ТОВАРИСТВО З ОБМЕЖЕНОЮ ВІДПОВІДАЛЬНІСТЮ "ДЕРЖЗАКУПІВЛІ.ОНЛАЙН" (ТОВ "ДЕРЖЗАКУПІВЛІ.ОНЛАЙН")</w:t>
            </w:r>
            <w:r w:rsidRPr="003E0791">
              <w:rPr>
                <w:rFonts w:ascii="Times New Roman" w:eastAsia="Times New Roman" w:hAnsi="Times New Roman" w:cs="Times New Roman"/>
                <w:lang w:val="uk-UA" w:eastAsia="uk-UA"/>
              </w:rPr>
              <w:t>» (адміністратор).</w:t>
            </w:r>
          </w:p>
        </w:tc>
      </w:tr>
    </w:tbl>
    <w:p w14:paraId="4FCA6FDD" w14:textId="77777777" w:rsidR="00F92C47" w:rsidRPr="003E0791" w:rsidRDefault="00F92C47" w:rsidP="00176CCE">
      <w:pPr>
        <w:rPr>
          <w:lang w:val="uk-UA"/>
        </w:rPr>
      </w:pPr>
    </w:p>
    <w:sectPr w:rsidR="00F92C47" w:rsidRPr="003E0791" w:rsidSect="00467CFF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591"/>
    <w:multiLevelType w:val="hybridMultilevel"/>
    <w:tmpl w:val="F6D011A4"/>
    <w:lvl w:ilvl="0" w:tplc="879E5C44">
      <w:start w:val="1"/>
      <w:numFmt w:val="decimal"/>
      <w:lvlText w:val="%1."/>
      <w:lvlJc w:val="left"/>
      <w:pPr>
        <w:ind w:left="343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63" w:hanging="360"/>
      </w:pPr>
    </w:lvl>
    <w:lvl w:ilvl="2" w:tplc="2000001B" w:tentative="1">
      <w:start w:val="1"/>
      <w:numFmt w:val="lowerRoman"/>
      <w:lvlText w:val="%3."/>
      <w:lvlJc w:val="right"/>
      <w:pPr>
        <w:ind w:left="1783" w:hanging="180"/>
      </w:pPr>
    </w:lvl>
    <w:lvl w:ilvl="3" w:tplc="2000000F" w:tentative="1">
      <w:start w:val="1"/>
      <w:numFmt w:val="decimal"/>
      <w:lvlText w:val="%4."/>
      <w:lvlJc w:val="left"/>
      <w:pPr>
        <w:ind w:left="2503" w:hanging="360"/>
      </w:pPr>
    </w:lvl>
    <w:lvl w:ilvl="4" w:tplc="20000019" w:tentative="1">
      <w:start w:val="1"/>
      <w:numFmt w:val="lowerLetter"/>
      <w:lvlText w:val="%5."/>
      <w:lvlJc w:val="left"/>
      <w:pPr>
        <w:ind w:left="3223" w:hanging="360"/>
      </w:pPr>
    </w:lvl>
    <w:lvl w:ilvl="5" w:tplc="2000001B" w:tentative="1">
      <w:start w:val="1"/>
      <w:numFmt w:val="lowerRoman"/>
      <w:lvlText w:val="%6."/>
      <w:lvlJc w:val="right"/>
      <w:pPr>
        <w:ind w:left="3943" w:hanging="180"/>
      </w:pPr>
    </w:lvl>
    <w:lvl w:ilvl="6" w:tplc="2000000F" w:tentative="1">
      <w:start w:val="1"/>
      <w:numFmt w:val="decimal"/>
      <w:lvlText w:val="%7."/>
      <w:lvlJc w:val="left"/>
      <w:pPr>
        <w:ind w:left="4663" w:hanging="360"/>
      </w:pPr>
    </w:lvl>
    <w:lvl w:ilvl="7" w:tplc="20000019" w:tentative="1">
      <w:start w:val="1"/>
      <w:numFmt w:val="lowerLetter"/>
      <w:lvlText w:val="%8."/>
      <w:lvlJc w:val="left"/>
      <w:pPr>
        <w:ind w:left="5383" w:hanging="360"/>
      </w:pPr>
    </w:lvl>
    <w:lvl w:ilvl="8" w:tplc="2000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114B17E0"/>
    <w:multiLevelType w:val="hybridMultilevel"/>
    <w:tmpl w:val="54E6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C2"/>
    <w:rsid w:val="00016FE0"/>
    <w:rsid w:val="00057ED2"/>
    <w:rsid w:val="0009126D"/>
    <w:rsid w:val="000B066B"/>
    <w:rsid w:val="000D4025"/>
    <w:rsid w:val="00107322"/>
    <w:rsid w:val="001079E2"/>
    <w:rsid w:val="001602F7"/>
    <w:rsid w:val="00176CCE"/>
    <w:rsid w:val="001B24E2"/>
    <w:rsid w:val="001C2D1F"/>
    <w:rsid w:val="001E2B6A"/>
    <w:rsid w:val="001F747D"/>
    <w:rsid w:val="002006F7"/>
    <w:rsid w:val="00200B7C"/>
    <w:rsid w:val="002752E0"/>
    <w:rsid w:val="00275714"/>
    <w:rsid w:val="002A16F6"/>
    <w:rsid w:val="002D3ED0"/>
    <w:rsid w:val="002D7720"/>
    <w:rsid w:val="00323BC2"/>
    <w:rsid w:val="00323D47"/>
    <w:rsid w:val="00334365"/>
    <w:rsid w:val="00356812"/>
    <w:rsid w:val="003752FA"/>
    <w:rsid w:val="00381753"/>
    <w:rsid w:val="003A3881"/>
    <w:rsid w:val="003E0791"/>
    <w:rsid w:val="003E3892"/>
    <w:rsid w:val="00490948"/>
    <w:rsid w:val="004B2E48"/>
    <w:rsid w:val="004C418D"/>
    <w:rsid w:val="004F784F"/>
    <w:rsid w:val="005115CD"/>
    <w:rsid w:val="00530534"/>
    <w:rsid w:val="00532F62"/>
    <w:rsid w:val="00581A72"/>
    <w:rsid w:val="005A6629"/>
    <w:rsid w:val="005D5B2C"/>
    <w:rsid w:val="005E0382"/>
    <w:rsid w:val="00635545"/>
    <w:rsid w:val="007422B4"/>
    <w:rsid w:val="007B088A"/>
    <w:rsid w:val="007B25AC"/>
    <w:rsid w:val="007B7B9A"/>
    <w:rsid w:val="007D5043"/>
    <w:rsid w:val="007E3C4A"/>
    <w:rsid w:val="007F6FE9"/>
    <w:rsid w:val="00884BA1"/>
    <w:rsid w:val="008F4A3F"/>
    <w:rsid w:val="009046C4"/>
    <w:rsid w:val="0095140E"/>
    <w:rsid w:val="0098271A"/>
    <w:rsid w:val="00997B50"/>
    <w:rsid w:val="009C7758"/>
    <w:rsid w:val="009D50B1"/>
    <w:rsid w:val="00A0436B"/>
    <w:rsid w:val="00A303C7"/>
    <w:rsid w:val="00A614BD"/>
    <w:rsid w:val="00A94F78"/>
    <w:rsid w:val="00AB503B"/>
    <w:rsid w:val="00AF27B7"/>
    <w:rsid w:val="00B132C8"/>
    <w:rsid w:val="00B44034"/>
    <w:rsid w:val="00B72691"/>
    <w:rsid w:val="00B76017"/>
    <w:rsid w:val="00C1060F"/>
    <w:rsid w:val="00C13586"/>
    <w:rsid w:val="00C369AA"/>
    <w:rsid w:val="00C60CD6"/>
    <w:rsid w:val="00C750F3"/>
    <w:rsid w:val="00C8210C"/>
    <w:rsid w:val="00C9154F"/>
    <w:rsid w:val="00CE787A"/>
    <w:rsid w:val="00D14DBA"/>
    <w:rsid w:val="00D81A04"/>
    <w:rsid w:val="00D85860"/>
    <w:rsid w:val="00DA4E22"/>
    <w:rsid w:val="00DE0D9F"/>
    <w:rsid w:val="00DF26A1"/>
    <w:rsid w:val="00DF72D2"/>
    <w:rsid w:val="00E30D9B"/>
    <w:rsid w:val="00E664A8"/>
    <w:rsid w:val="00E70A51"/>
    <w:rsid w:val="00EC148E"/>
    <w:rsid w:val="00EE5228"/>
    <w:rsid w:val="00EF3F06"/>
    <w:rsid w:val="00F06615"/>
    <w:rsid w:val="00F75EC7"/>
    <w:rsid w:val="00F92C47"/>
    <w:rsid w:val="00FA0284"/>
    <w:rsid w:val="00FA7849"/>
    <w:rsid w:val="00FB6D15"/>
    <w:rsid w:val="00FD4F75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708"/>
  <w15:docId w15:val="{942B4E48-FC61-4C3A-8A08-8FF322C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1A7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0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9E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F747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76C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038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www.dto.com.ua/tenders/362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</dc:creator>
  <cp:lastModifiedBy>Юрист</cp:lastModifiedBy>
  <cp:revision>16</cp:revision>
  <cp:lastPrinted>2021-01-20T13:36:00Z</cp:lastPrinted>
  <dcterms:created xsi:type="dcterms:W3CDTF">2021-01-20T13:43:00Z</dcterms:created>
  <dcterms:modified xsi:type="dcterms:W3CDTF">2021-04-09T06:17:00Z</dcterms:modified>
</cp:coreProperties>
</file>