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81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чотириповерхової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481C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74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81C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481C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101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81C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Інститутська, 5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81C62">
              <w:rPr>
                <w:rFonts w:ascii="Times New Roman" w:hAnsi="Times New Roman" w:cs="Times New Roman"/>
                <w:b/>
                <w:sz w:val="24"/>
                <w:szCs w:val="24"/>
              </w:rPr>
              <w:t>1744896,69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481C62">
              <w:rPr>
                <w:rFonts w:ascii="Times New Roman" w:hAnsi="Times New Roman" w:cs="Times New Roman"/>
                <w:b/>
                <w:sz w:val="24"/>
                <w:szCs w:val="24"/>
              </w:rPr>
              <w:t>563259,04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DC3CD9">
              <w:rPr>
                <w:rFonts w:ascii="Times New Roman" w:hAnsi="Times New Roman" w:cs="Times New Roman"/>
                <w:b/>
              </w:rPr>
              <w:t>передача</w:t>
            </w:r>
            <w:bookmarkStart w:id="0" w:name="_GoBack"/>
            <w:bookmarkEnd w:id="0"/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62">
              <w:rPr>
                <w:rFonts w:ascii="Times New Roman" w:hAnsi="Times New Roman" w:cs="Times New Roman"/>
                <w:b/>
                <w:sz w:val="24"/>
                <w:szCs w:val="24"/>
              </w:rPr>
              <w:t>563259,04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9F" w:rsidRDefault="00D0569F" w:rsidP="00A70218">
      <w:pPr>
        <w:spacing w:after="0" w:line="240" w:lineRule="auto"/>
      </w:pPr>
      <w:r>
        <w:separator/>
      </w:r>
    </w:p>
  </w:endnote>
  <w:endnote w:type="continuationSeparator" w:id="0">
    <w:p w:rsidR="00D0569F" w:rsidRDefault="00D0569F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9F" w:rsidRDefault="00D0569F" w:rsidP="00A70218">
      <w:pPr>
        <w:spacing w:after="0" w:line="240" w:lineRule="auto"/>
      </w:pPr>
      <w:r>
        <w:separator/>
      </w:r>
    </w:p>
  </w:footnote>
  <w:footnote w:type="continuationSeparator" w:id="0">
    <w:p w:rsidR="00D0569F" w:rsidRDefault="00D0569F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6CED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1C62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687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71521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569F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3CD9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15265</Words>
  <Characters>8702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2</cp:revision>
  <cp:lastPrinted>2021-03-03T08:24:00Z</cp:lastPrinted>
  <dcterms:created xsi:type="dcterms:W3CDTF">2021-04-12T11:05:00Z</dcterms:created>
  <dcterms:modified xsi:type="dcterms:W3CDTF">2021-04-12T11:05:00Z</dcterms:modified>
</cp:coreProperties>
</file>