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3F" w:rsidRDefault="00C53D3F" w:rsidP="00C53D3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</w:p>
    <w:p w:rsidR="00C53D3F" w:rsidRDefault="00C53D3F" w:rsidP="00C53D3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53D3F" w:rsidRDefault="00C53D3F" w:rsidP="00C53D3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Інформаційне повідомлення Черкаської області м. Черкаси Департамент економіки та розвитку Черкаської міської ради про проведення в електронній системі продажу на аукціоні з умовами об’єкта малої приватизації  – нежитлового приміщення, розташованого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м. Черкаси, бульвар Шевченка, 268/1, загальною площею – 15,4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C53D3F" w:rsidRDefault="00C53D3F" w:rsidP="00C53D3F">
      <w:pPr>
        <w:ind w:right="-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3D3F" w:rsidRDefault="00C53D3F" w:rsidP="00C53D3F">
      <w:pPr>
        <w:numPr>
          <w:ilvl w:val="0"/>
          <w:numId w:val="1"/>
        </w:numPr>
        <w:ind w:right="-8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об’єкт  приватизації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Назва об’єкта приватизації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нежитлове приміщення.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Місцезнаходження об’єкта: 18007, Черкаська обл., м. Черкаси,               бульвар Шевченка, 268/1.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Балансоутримувач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економіки та розвитку Черкаської міської ради, код ЄДРПОУ 33457208. Адреса: 18000, м. Черкаси, вул. Байди Вишневецького, 36.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0472-54-38-08.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depec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Відомості про об’єкт: нежитлове приміщення офісу №1,  складова частина об’єкта нерухомого майна нежитлове приміщення першого поверху №1-7, літера А-1, загальною площею 15,4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матеріал зовнішніх стін - цегла, перекриття - дерев’яні балки, дах – шатровий, висота приміщення – 2,70 м., приміщення обладнане водопроводом, каналізацією, опаленням, електроосвітленням. Нежитлове приміщення не має окремого входу. Вхід в приміщення здійснюється через приміщення, які знаходяться у приватній власності.  Будівля в якій розташоване приміщення знаходиться в центральному районі міста Черкаси. В цілому загальний фізичний стан об’єкту можна охарактеризувати як задовільний. 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Додається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сканкопія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технічного плану, виготовленого КП «Черкаське обласне бюро технічної інвентаризації», станом на 18.12.2012 р.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договори оренди укладені щодо об’єкта: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знаходиться в оренді. Орендар: приватний нотаріус, договір оренди №1161. Загальна орендована площа – 15,4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Згідно додатку №3 до договору оренди №1161 від 12 травня 2014 року розрахункова орендна плата за місяць становить – 833,33 грн., встановлена договором оренди плата підлягає індексації відповідно до індексу інфляції, який щомісячно визначається Міністерством України. Договір оренди укладено по 31 грудня 2024 року.</w:t>
      </w:r>
    </w:p>
    <w:p w:rsidR="00C53D3F" w:rsidRDefault="00C53D3F" w:rsidP="00C53D3F">
      <w:pPr>
        <w:ind w:right="-8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Договір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оренди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зберігає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чинність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нового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власника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приватизованого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майна, а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покупцем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оренду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майна є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орендар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припиняється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дня, за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оренди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переходить 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Об’єкт зареєстровано за територіальною громадою міста в особі Черкаської міської ради. Державна реєстрація права власності на нерухоме майно: реєстраційний номер об’єкта нерухомо майна  295458771101, дата реєстрації 12.02.2014 р.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2. Інформація про аукціон.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  <w:t xml:space="preserve">Спосіб проведення аукціону: аукціон з умовами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буде проведено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час проведення визначається електронною торговою системою автоматично.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Аукціон в електронній формі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р, № 432 (зі змінами).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Приймання та реєстрація заяв на участь в аукціоні проводиться відповідно до вимог ч. 7 ст. 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р, № 432 (зі змінами).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системи до закінчення кінцевого строку прийняття заяв на участь в електронному аукціоні/закритих цінових пропозицій.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участі в аукціоні допускаються особи які відповідають вимогам, передбаченим у статті 8 Закону України «Про приватизацію державного і комунального майна».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Кінцевий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подання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заяви на участь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електронному аукціоні</w:t>
      </w:r>
      <w:r>
        <w:rPr>
          <w:rFonts w:ascii="Times New Roman" w:hAnsi="Times New Roman" w:cs="Times New Roman"/>
          <w:b/>
          <w:sz w:val="28"/>
          <w:szCs w:val="28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умовами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із зниженням стартової ціни встановлюється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электронною торговою системою для кожного электронного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аукціону окремо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проміжку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часу з 19.30 до 20.30 дня,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що передує</w:t>
      </w:r>
      <w:r>
        <w:rPr>
          <w:rFonts w:ascii="Times New Roman" w:hAnsi="Times New Roman" w:cs="Times New Roman"/>
          <w:b/>
          <w:sz w:val="28"/>
          <w:szCs w:val="28"/>
        </w:rPr>
        <w:t xml:space="preserve"> дню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електронного аукціону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Кінцевий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подання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заяви на участь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електронному аукціоні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методом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покрокового зниження стартової ціни</w:t>
      </w:r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подальшого подання цінових пропозицій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встановлюється електронною</w:t>
      </w:r>
      <w:r>
        <w:rPr>
          <w:rFonts w:ascii="Times New Roman" w:hAnsi="Times New Roman" w:cs="Times New Roman"/>
          <w:sz w:val="28"/>
          <w:szCs w:val="28"/>
        </w:rPr>
        <w:t xml:space="preserve"> торговою системою для кожного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електронного аукціону окремо</w:t>
      </w:r>
      <w:r>
        <w:rPr>
          <w:rFonts w:ascii="Times New Roman" w:hAnsi="Times New Roman" w:cs="Times New Roman"/>
          <w:sz w:val="28"/>
          <w:szCs w:val="28"/>
        </w:rPr>
        <w:t xml:space="preserve"> з 16.15 до 16.45 дня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електронного аукціону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внесок.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умови</w:t>
      </w:r>
      <w:r>
        <w:rPr>
          <w:rFonts w:ascii="Times New Roman" w:hAnsi="Times New Roman" w:cs="Times New Roman"/>
          <w:b/>
          <w:sz w:val="28"/>
          <w:szCs w:val="28"/>
        </w:rPr>
        <w:t xml:space="preserve">,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яких здійснюється приватизація об’єкта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Стартова ціна об’єкта для продажу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аукціон з умовами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51906,40 грн.</w:t>
      </w:r>
      <w:r>
        <w:rPr>
          <w:rFonts w:ascii="Times New Roman" w:hAnsi="Times New Roman" w:cs="Times New Roman"/>
          <w:sz w:val="28"/>
          <w:szCs w:val="28"/>
        </w:rPr>
        <w:t xml:space="preserve"> (без ПДВ);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аукціону із зниженням стартової ціни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25953,20 грн.</w:t>
      </w:r>
      <w:r>
        <w:rPr>
          <w:rFonts w:ascii="Times New Roman" w:hAnsi="Times New Roman" w:cs="Times New Roman"/>
          <w:sz w:val="28"/>
          <w:szCs w:val="28"/>
        </w:rPr>
        <w:t xml:space="preserve"> (без ПДВ);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аукціону</w:t>
      </w:r>
      <w:r>
        <w:rPr>
          <w:rFonts w:ascii="Times New Roman" w:hAnsi="Times New Roman" w:cs="Times New Roman"/>
          <w:sz w:val="28"/>
          <w:szCs w:val="28"/>
        </w:rPr>
        <w:t xml:space="preserve"> за методом 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покрокового зниження стартової ціни та подальшого подання цінових пропозицій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25953,20 грн.</w:t>
      </w:r>
      <w:r>
        <w:rPr>
          <w:rFonts w:ascii="Times New Roman" w:hAnsi="Times New Roman" w:cs="Times New Roman"/>
          <w:sz w:val="28"/>
          <w:szCs w:val="28"/>
        </w:rPr>
        <w:t xml:space="preserve"> (без ПДВ).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Розмір гарантійного внеску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аукціон з умовами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5190,64 грн.</w:t>
      </w:r>
      <w:r>
        <w:rPr>
          <w:rFonts w:ascii="Times New Roman" w:hAnsi="Times New Roman" w:cs="Times New Roman"/>
          <w:sz w:val="28"/>
          <w:szCs w:val="28"/>
        </w:rPr>
        <w:t xml:space="preserve"> (без ПДВ);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аукціону із зниженням стартової ціни – 2595,32 грн.</w:t>
      </w:r>
      <w:r>
        <w:rPr>
          <w:rFonts w:ascii="Times New Roman" w:hAnsi="Times New Roman" w:cs="Times New Roman"/>
          <w:sz w:val="28"/>
          <w:szCs w:val="28"/>
        </w:rPr>
        <w:t xml:space="preserve"> (без ПДВ);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аукціону</w:t>
      </w:r>
      <w:r>
        <w:rPr>
          <w:rFonts w:ascii="Times New Roman" w:hAnsi="Times New Roman" w:cs="Times New Roman"/>
          <w:sz w:val="28"/>
          <w:szCs w:val="28"/>
        </w:rPr>
        <w:t xml:space="preserve"> за методом 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покрокового зниження стартової ціни та подальшого подання цінових пропозицій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2595,32 грн.</w:t>
      </w:r>
      <w:r>
        <w:rPr>
          <w:rFonts w:ascii="Times New Roman" w:hAnsi="Times New Roman" w:cs="Times New Roman"/>
          <w:sz w:val="28"/>
          <w:szCs w:val="28"/>
        </w:rPr>
        <w:t xml:space="preserve"> (без ПДВ).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Розмір реєстраційного внеску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834,60</w:t>
      </w:r>
      <w:r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Умови продажу об’єкта приватизації: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Подальше використання об’єкта визначає покупець.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Покупець бере на себе витрати пов’язані з нотаріальним посвідченням договору купівлі -  продажу.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остаточну ціну</w:t>
      </w:r>
      <w:r>
        <w:rPr>
          <w:rFonts w:ascii="Times New Roman" w:hAnsi="Times New Roman" w:cs="Times New Roman"/>
          <w:sz w:val="28"/>
          <w:szCs w:val="28"/>
        </w:rPr>
        <w:t xml:space="preserve"> продажу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об’єкта нараховується</w:t>
      </w:r>
      <w:r>
        <w:rPr>
          <w:rFonts w:ascii="Times New Roman" w:hAnsi="Times New Roman" w:cs="Times New Roman"/>
          <w:sz w:val="28"/>
          <w:szCs w:val="28"/>
        </w:rPr>
        <w:t xml:space="preserve"> ПДВ в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розмірі</w:t>
      </w:r>
      <w:r>
        <w:rPr>
          <w:rFonts w:ascii="Times New Roman" w:hAnsi="Times New Roman" w:cs="Times New Roman"/>
          <w:sz w:val="28"/>
          <w:szCs w:val="28"/>
        </w:rPr>
        <w:t xml:space="preserve"> 20 %.</w:t>
      </w:r>
    </w:p>
    <w:p w:rsidR="00C53D3F" w:rsidRDefault="00C53D3F" w:rsidP="00C53D3F">
      <w:pPr>
        <w:ind w:right="-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4.Дотримання санітарно-екологічних та протипожежних норм експлуатації об</w:t>
      </w:r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належному стані.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4. Додаткова інформація.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3D3F" w:rsidRDefault="00C53D3F" w:rsidP="00C53D3F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 w:eastAsia="x-none"/>
        </w:rPr>
        <w:t xml:space="preserve">Оператор електронного майданчика здійснює перерахування гарантійного та реєстраційного внесків на казначейські рахунки окремими </w:t>
      </w:r>
      <w:proofErr w:type="spellStart"/>
      <w:r>
        <w:rPr>
          <w:sz w:val="28"/>
          <w:szCs w:val="28"/>
          <w:lang w:val="uk-UA" w:eastAsia="x-none"/>
        </w:rPr>
        <w:t>платежами</w:t>
      </w:r>
      <w:proofErr w:type="spellEnd"/>
      <w:r>
        <w:rPr>
          <w:sz w:val="28"/>
          <w:szCs w:val="28"/>
          <w:lang w:val="uk-UA" w:eastAsia="x-none"/>
        </w:rPr>
        <w:t xml:space="preserve"> за такими реквізитами: </w:t>
      </w:r>
      <w:r>
        <w:rPr>
          <w:sz w:val="28"/>
          <w:szCs w:val="28"/>
          <w:u w:val="single"/>
          <w:lang w:val="uk-UA" w:eastAsia="x-none"/>
        </w:rPr>
        <w:t>в національній валюті:</w:t>
      </w:r>
    </w:p>
    <w:p w:rsidR="00C53D3F" w:rsidRDefault="00C53D3F" w:rsidP="00C53D3F">
      <w:pPr>
        <w:overflowPunct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Arial"/>
          <w:sz w:val="28"/>
          <w:szCs w:val="28"/>
          <w:lang w:val="uk-UA"/>
        </w:rPr>
        <w:tab/>
      </w:r>
      <w:r>
        <w:rPr>
          <w:rFonts w:ascii="Times New Roman" w:hAnsi="Times New Roman" w:cs="Arial"/>
          <w:b/>
          <w:sz w:val="28"/>
          <w:szCs w:val="28"/>
          <w:lang w:val="uk-UA"/>
        </w:rPr>
        <w:t>Одержувач:</w:t>
      </w:r>
      <w:r>
        <w:rPr>
          <w:rFonts w:ascii="Times New Roman" w:hAnsi="Times New Roman" w:cs="Arial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 економіки та розвитку Черкаської міської ради.</w:t>
      </w:r>
    </w:p>
    <w:p w:rsidR="00C53D3F" w:rsidRDefault="00C53D3F" w:rsidP="00C53D3F">
      <w:pPr>
        <w:widowControl w:val="0"/>
        <w:tabs>
          <w:tab w:val="left" w:pos="720"/>
        </w:tabs>
        <w:overflowPunct/>
        <w:autoSpaceDE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x-no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x-none"/>
        </w:rPr>
        <w:t xml:space="preserve">Рахунок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x-none"/>
        </w:rPr>
        <w:t>№ р/р 37187078039739</w:t>
      </w:r>
      <w:r>
        <w:rPr>
          <w:rFonts w:ascii="Times New Roman" w:hAnsi="Times New Roman" w:cs="Times New Roman"/>
          <w:spacing w:val="4"/>
          <w:sz w:val="25"/>
          <w:szCs w:val="28"/>
          <w:shd w:val="clear" w:color="auto" w:fill="FFFFFF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x-none"/>
        </w:rPr>
        <w:t xml:space="preserve"> (для перерахування реєстраційного внеску).</w:t>
      </w:r>
    </w:p>
    <w:p w:rsidR="00C53D3F" w:rsidRDefault="00C53D3F" w:rsidP="00C53D3F">
      <w:pPr>
        <w:widowControl w:val="0"/>
        <w:tabs>
          <w:tab w:val="left" w:pos="720"/>
        </w:tabs>
        <w:overflowPunct/>
        <w:autoSpaceDE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x-no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x-none"/>
        </w:rPr>
        <w:t>Рахунок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x-none"/>
        </w:rPr>
        <w:t xml:space="preserve"> № р/р 37187078039739 (для перерахування гарантійного внеску)</w:t>
      </w:r>
    </w:p>
    <w:p w:rsidR="00C53D3F" w:rsidRDefault="00C53D3F" w:rsidP="00C53D3F">
      <w:pPr>
        <w:widowControl w:val="0"/>
        <w:tabs>
          <w:tab w:val="left" w:pos="720"/>
        </w:tabs>
        <w:overflowPunct/>
        <w:autoSpaceDE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x-no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x-none"/>
        </w:rPr>
        <w:t>Банк одержувача: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x-none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  <w:lang w:val="x-none" w:eastAsia="x-none"/>
        </w:rPr>
        <w:t xml:space="preserve">ГУДКСУ у </w:t>
      </w:r>
      <w: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  <w:lang w:val="uk-UA" w:eastAsia="x-none"/>
        </w:rPr>
        <w:t>Черкаській області,</w:t>
      </w:r>
      <w: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  <w:lang w:val="x-none" w:eastAsia="x-none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  <w:lang w:val="uk-UA" w:eastAsia="x-none"/>
        </w:rPr>
        <w:t xml:space="preserve">що розташоване за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  <w:lang w:val="uk-UA" w:eastAsia="x-none"/>
        </w:rPr>
        <w:t>адресою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  <w:lang w:val="uk-UA" w:eastAsia="x-none"/>
        </w:rPr>
        <w:t>: м. Черкаси, вул. Байди Вишневецького, 36.</w:t>
      </w:r>
      <w: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  <w:lang w:val="x-none" w:eastAsia="x-none"/>
        </w:rPr>
        <w:t xml:space="preserve"> </w:t>
      </w:r>
    </w:p>
    <w:p w:rsidR="00C53D3F" w:rsidRDefault="00C53D3F" w:rsidP="00C53D3F">
      <w:pPr>
        <w:widowControl w:val="0"/>
        <w:tabs>
          <w:tab w:val="left" w:pos="720"/>
        </w:tabs>
        <w:overflowPunct/>
        <w:autoSpaceDE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x-no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x-none"/>
        </w:rPr>
        <w:t>МФО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x-none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  <w:lang w:val="x-none" w:eastAsia="x-none"/>
        </w:rPr>
        <w:t>820172</w:t>
      </w:r>
      <w: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  <w:lang w:val="uk-UA" w:eastAsia="x-none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x-non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x-none"/>
        </w:rPr>
        <w:t>Код ЄДРПОУ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x-none"/>
        </w:rPr>
        <w:t xml:space="preserve"> 33457208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внесків, розміщено за посиланням: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prozorro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sale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elektronni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majdanchiki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ets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prozorroprodazhi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cbd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Час і місце проведення огляду об’єкта: оглянути об’єкт можна в робочі дні за місцем його розташування, звернувшись до організатора аукціону.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організатора аукціону: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 економіки та розвитку Черкаської міської ради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18000, м. Черкаси, вул. Байди Вишневецького, 36. Телефон для довідок (0472) 54-38-08, в робочі дні з 8.00 до 17.00, у п’ятницю – з 8.00 до 16.00, 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depec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  <w:lang w:val="uk-UA"/>
        </w:rPr>
        <w:t>, веб-сайт: http://chmr.gov.ua/ua/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Відповідальна особа: Лимаренко Валентина Іванівна.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5. Технічні реквізити інформаційного повідомлення.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>
        <w:rPr>
          <w:rFonts w:ascii="Times New Roman" w:hAnsi="Times New Roman" w:cs="Times New Roman"/>
          <w:sz w:val="28"/>
          <w:szCs w:val="28"/>
        </w:rPr>
        <w:t>UA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-2019-10-21-000005-1.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 між аукціонами: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Період між аукціонами без умов та аукціон із зниженням стартової ціни, між аукціоном за методом покрокового зниження ціни та подальшого подання цінових пропозицій: 20 календарних днів від дати опублікування інформаційного повідомлення електронною торговою системою про приватизацію об’єкта малої приватизації.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Крок аукціону становить 1% стартової ціни об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приватизації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аукціон з умовами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519,06 грн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аукціону із зниженням стартової ціни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259,53 грн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аукціону</w:t>
      </w:r>
      <w:r>
        <w:rPr>
          <w:rFonts w:ascii="Times New Roman" w:hAnsi="Times New Roman" w:cs="Times New Roman"/>
          <w:sz w:val="28"/>
          <w:szCs w:val="28"/>
        </w:rPr>
        <w:t xml:space="preserve"> за методом 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покрокового зниження стартової ціни та подальшого подання цінових пропозицій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259,53 грн.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Встановлена кількість кроків на  аукціоні</w:t>
      </w:r>
      <w:r>
        <w:rPr>
          <w:rFonts w:ascii="Times New Roman" w:hAnsi="Times New Roman" w:cs="Times New Roman"/>
          <w:sz w:val="28"/>
          <w:szCs w:val="28"/>
        </w:rPr>
        <w:t xml:space="preserve"> за методом 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покрокового зниження стартової ціни та подальшого подання цінових пропозицій (на яку знижується стартова ціна) 9 кроків.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C53D3F" w:rsidRDefault="00C53D3F" w:rsidP="00C53D3F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prozorro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sale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info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elektronni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majdanchiki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ets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prozorroprodazhi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cbd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A0A12" w:rsidRPr="00C53D3F" w:rsidRDefault="003A0A12">
      <w:pPr>
        <w:rPr>
          <w:lang w:val="uk-UA"/>
        </w:rPr>
      </w:pPr>
      <w:bookmarkStart w:id="0" w:name="_GoBack"/>
      <w:bookmarkEnd w:id="0"/>
    </w:p>
    <w:sectPr w:rsidR="003A0A12" w:rsidRPr="00C5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do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C7F7B"/>
    <w:multiLevelType w:val="hybridMultilevel"/>
    <w:tmpl w:val="98488562"/>
    <w:lvl w:ilvl="0" w:tplc="FDA654D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B1"/>
    <w:rsid w:val="00020BB1"/>
    <w:rsid w:val="003A0A12"/>
    <w:rsid w:val="00C5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0CC69-C1F3-4872-801D-2AD5F2EA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D3F"/>
    <w:pPr>
      <w:overflowPunct w:val="0"/>
      <w:autoSpaceDE w:val="0"/>
      <w:autoSpaceDN w:val="0"/>
      <w:adjustRightInd w:val="0"/>
      <w:spacing w:after="0" w:line="240" w:lineRule="auto"/>
    </w:pPr>
    <w:rPr>
      <w:rFonts w:ascii="Bodoni" w:eastAsia="Times New Roman" w:hAnsi="Bodoni" w:cs="Bodon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3D3F"/>
    <w:rPr>
      <w:color w:val="0000FF"/>
      <w:u w:val="single"/>
    </w:rPr>
  </w:style>
  <w:style w:type="character" w:customStyle="1" w:styleId="a4">
    <w:name w:val="Основной текст_"/>
    <w:link w:val="3"/>
    <w:locked/>
    <w:rsid w:val="00C53D3F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C53D3F"/>
    <w:pPr>
      <w:widowControl w:val="0"/>
      <w:shd w:val="clear" w:color="auto" w:fill="FFFFFF"/>
      <w:overflowPunct/>
      <w:autoSpaceDE/>
      <w:autoSpaceDN/>
      <w:adjustRightInd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DTO-4</dc:creator>
  <cp:keywords/>
  <dc:description/>
  <cp:lastModifiedBy>DTO-4</cp:lastModifiedBy>
  <cp:revision>2</cp:revision>
  <dcterms:created xsi:type="dcterms:W3CDTF">2019-11-13T08:27:00Z</dcterms:created>
  <dcterms:modified xsi:type="dcterms:W3CDTF">2019-11-13T08:27:00Z</dcterms:modified>
</cp:coreProperties>
</file>