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передачу нерухомого майна в оренду на аукціоні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9"/>
        <w:gridCol w:w="7114"/>
        <w:tblGridChange w:id="0">
          <w:tblGrid>
            <w:gridCol w:w="2739"/>
            <w:gridCol w:w="71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аукціону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Оренда нежитлової будівлі  площею 2508,5 кв. м за адресою: с. Старі Петрівці, Вишгородський район,Київська область,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вул. Польова,5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Повне найменування та адреса орендодавця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комунальної власності м. Києва виконавчого органу Київської міської ради (Київська міська державна адміністрація)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ЄДРПОУ 19020407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місцезнаходження: вул. Хрещатик, 10, м. Київ, 01001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тел.(044) 202-61-51 e-mail: gukv@gukv.gov.ua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Повне найменування та адреса балансоутримувача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Комунальне підприємство «Поділ-Нерухомість»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ЄДРПОУ 30114496,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місцезнаходження: вул. Марка Вовчка,21, м. Київ, 04073</w:t>
            </w:r>
          </w:p>
        </w:tc>
      </w:tr>
      <w:tr>
        <w:trPr>
          <w:trHeight w:val="13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об’єкт оренди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Нежитлова будівля загальною площею 2508,5 кв. м, розташована за адресою: с. Старі Петрівці, Вишгородський район,Київська область, вул. Польова,5, що обліковується на балансі КП «Поділ-Нерухомість»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переліку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перший</w:t>
            </w:r>
          </w:p>
        </w:tc>
      </w:tr>
      <w:tr>
        <w:trPr>
          <w:trHeight w:val="10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об'єкта оренди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залишкова балансова вартість об’єкта оренди станом на 30.09.2020 – 522485,63 грн.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первісна балансова вартість об'єкта оренди станом на                   30.09.2020 – 1 363 397,68 грн.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об’єкта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нерухоме майно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Пропонований строк оренди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отримання погодження органу управління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Фотографічне зображення майна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 об’єкта;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Польова,5, с. Старі Петрівці, Вишгородський район,Київська область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і корисна площа об’єкта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2508,5 кв. м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об’єкта оренди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окремо стоячий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Задовільний. Відсутні електропостачання та водопостачання.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Поверховий план об’єкта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об’єкт не є пам’яткою культурної спадщини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Наявність погодження органу охорони культурної спадщини на передачу об'єкта в оренду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потребує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Рішення про проведення інвестиційного конкурсу або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про включення об’єкта до переліку майна, що підлягає приватизації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не приймались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договору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 до оголошення про передачу нерухомого майна в оренду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Умови та додаткові умови оренди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Строк оренди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Стартова орендна плата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5224,85 грн (п’ять тисяч двісті двадцять чотири  грн. 85 коп), без урахування ПДВ - для електронного аукціону;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2612,43 грн. (дві тисячі шістсот дванадцять грн. 43 коп), без урахування ПДВ - для електронного аукціону із зниженням стартової ціни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2612,43 грн. (дві тисячі шістсот дванадцять грн. 43 коп), 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цільове призначення (обмеження щодо цільового призначення об’єкта оренди встановлені відповідно до п. 29 Порядку)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Майно може бути використане за цільовим призначенням на розсуд Орендаря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Письмова згода на передачу майна в суборенду відповідно до п. 169 Порядку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Вимоги до орендаря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Стасенок  Лариса Миколаївна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Головний бухгалтер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044-379-18-45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podil_neryhomist@ukr.net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аукціон (спосіб та дата)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аукціону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 листопада 2020р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Кінцевий строк подання заяви на участь в аукціоні                              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 листопада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2020 р. встановлюється електронною торговою системою для кожного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умови, на яких проводиться аукціон: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мінімального кроку підвищення стартової орендної плати під час аукціону 1% стартової орендної плати – 52,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грн.                   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п`ятдесят дві гривні двадцять п’ять копійок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гарантійного внеску – 263643,35 грн. (двісті шістдесят три тисячі шістсот сорок три грн. 35 коп.);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реєстраційного внеску – 472,30 грн (чотириста сімдесят дві        грн.30 коп.);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інформація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7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Інша додаткова інформація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Технічні реквізити оголошення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https://prozorro.sale/info/elektronni-majdanchiki-ets-prozorroprodazhi-cbd2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5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k-UA" w:val="uk-UA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uk-UA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 w:bidi="ar-SA" w:eastAsia="uk-UA" w:val="uk-UA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Нормальнийтекст">
    <w:name w:val="Нормальний текст"/>
    <w:basedOn w:val="Обычный"/>
    <w:next w:val="Нормальнийтекст"/>
    <w:autoRedefine w:val="0"/>
    <w:hidden w:val="0"/>
    <w:qFormat w:val="0"/>
    <w:pPr>
      <w:suppressAutoHyphens w:val="1"/>
      <w:spacing w:after="0" w:before="120" w:line="240" w:lineRule="auto"/>
      <w:ind w:leftChars="-1" w:rightChars="0" w:firstLine="567" w:firstLineChars="-1"/>
      <w:textDirection w:val="btLr"/>
      <w:textAlignment w:val="top"/>
      <w:outlineLvl w:val="0"/>
    </w:pPr>
    <w:rPr>
      <w:rFonts w:ascii="Antiqua" w:cs="Times New Roman" w:hAnsi="Antiqua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q6FG+jLehIBIkSDQ4jUYKTfyA==">AMUW2mWXCgQYhaXZFk8eabjXPN5TBuVY770LzvHUHagQc+QaiLeOoGNgih+N7cH3WpIdG7De2uRxkQtFXk3U/TEmgd1V3pS9JKed8O7+BaMTn8EUbJJWckY=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2020-09-28T13:02:00Z</dcterms:created>
  <dc:creator>philipova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