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C63A35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63A35">
        <w:rPr>
          <w:b/>
          <w:bCs/>
          <w:sz w:val="20"/>
          <w:szCs w:val="20"/>
        </w:rPr>
        <w:t>ДОГОВІР ОРЕНДИ</w:t>
      </w:r>
    </w:p>
    <w:p w:rsidR="00EB0CF8" w:rsidRPr="00C63A35" w:rsidRDefault="00EB0CF8" w:rsidP="00EB0CF8">
      <w:pPr>
        <w:pStyle w:val="Default"/>
        <w:jc w:val="center"/>
        <w:rPr>
          <w:sz w:val="20"/>
          <w:szCs w:val="20"/>
          <w:lang w:val="ru-RU"/>
        </w:rPr>
      </w:pPr>
      <w:r w:rsidRPr="00C63A35">
        <w:rPr>
          <w:b/>
          <w:bCs/>
          <w:sz w:val="20"/>
          <w:szCs w:val="20"/>
        </w:rPr>
        <w:t>нерухомого майна, що належить до державної власності</w:t>
      </w:r>
      <w:r w:rsidRPr="00C63A35">
        <w:rPr>
          <w:b/>
          <w:bCs/>
          <w:color w:val="2D96D2"/>
          <w:sz w:val="20"/>
          <w:szCs w:val="20"/>
        </w:rPr>
        <w:t xml:space="preserve"> </w:t>
      </w:r>
    </w:p>
    <w:p w:rsidR="00EB0CF8" w:rsidRPr="00C63A35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63A35">
        <w:rPr>
          <w:b/>
          <w:bCs/>
          <w:sz w:val="20"/>
          <w:szCs w:val="20"/>
        </w:rPr>
        <w:t>(нова редакція)</w:t>
      </w:r>
    </w:p>
    <w:p w:rsidR="00811EB9" w:rsidRPr="00C63A35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C63A35">
        <w:rPr>
          <w:rFonts w:ascii="Times New Roman" w:hAnsi="Times New Roman"/>
          <w:b w:val="0"/>
          <w:sz w:val="20"/>
          <w:lang w:val="en-US"/>
        </w:rPr>
        <w:t>I</w:t>
      </w:r>
      <w:r w:rsidRPr="00C63A35">
        <w:rPr>
          <w:rFonts w:ascii="Times New Roman" w:hAnsi="Times New Roman"/>
          <w:b w:val="0"/>
          <w:sz w:val="20"/>
          <w:lang w:val="ru-RU"/>
        </w:rPr>
        <w:t xml:space="preserve">. </w:t>
      </w:r>
      <w:r w:rsidRPr="00C63A35">
        <w:rPr>
          <w:rFonts w:ascii="Times New Roman" w:hAnsi="Times New Roman"/>
          <w:b w:val="0"/>
          <w:sz w:val="20"/>
        </w:rPr>
        <w:t>Змінювані умови договору</w:t>
      </w:r>
      <w:r w:rsidR="007D3124" w:rsidRPr="00C63A35">
        <w:rPr>
          <w:rFonts w:ascii="Times New Roman" w:hAnsi="Times New Roman"/>
          <w:b w:val="0"/>
          <w:sz w:val="20"/>
        </w:rPr>
        <w:t>,</w:t>
      </w:r>
      <w:r w:rsidRPr="00C63A35">
        <w:rPr>
          <w:rFonts w:ascii="Times New Roman" w:hAnsi="Times New Roman"/>
          <w:b w:val="0"/>
          <w:sz w:val="20"/>
        </w:rPr>
        <w:t xml:space="preserve"> (далі </w:t>
      </w:r>
      <w:r w:rsidRPr="00C63A35">
        <w:rPr>
          <w:rFonts w:ascii="Times New Roman" w:hAnsi="Times New Roman"/>
          <w:b w:val="0"/>
          <w:sz w:val="20"/>
          <w:lang w:val="ru-RU"/>
        </w:rPr>
        <w:t xml:space="preserve">— </w:t>
      </w:r>
      <w:r w:rsidRPr="00C63A35">
        <w:rPr>
          <w:rFonts w:ascii="Times New Roman" w:hAnsi="Times New Roman"/>
          <w:b w:val="0"/>
          <w:sz w:val="20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CD4451" w:rsidRPr="00C63A35">
              <w:rPr>
                <w:rFonts w:ascii="Times New Roman" w:hAnsi="Times New Roman"/>
                <w:color w:val="000000"/>
                <w:sz w:val="20"/>
              </w:rPr>
              <w:t>Львів</w:t>
            </w: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11EB9" w:rsidRPr="00C63A35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Наймену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Посилання на документ, який надає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повноважен-ня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РВ Ф</w:t>
            </w:r>
            <w:r w:rsidR="007D3124" w:rsidRPr="00C63A35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E02ED2" w:rsidP="00FA529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79000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Калинець В</w:t>
            </w:r>
            <w:r w:rsidR="00C010D8" w:rsidRPr="00C63A35">
              <w:rPr>
                <w:rFonts w:ascii="Times New Roman" w:hAnsi="Times New Roman"/>
                <w:color w:val="000000"/>
                <w:sz w:val="20"/>
              </w:rPr>
              <w:t>ладислав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начальник</w:t>
            </w:r>
            <w:r w:rsidR="00C010D8"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461B24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hyperlink r:id="rId6" w:history="1">
              <w:r w:rsidR="00AD7118" w:rsidRPr="00C63A35">
                <w:rPr>
                  <w:rStyle w:val="a5"/>
                  <w:rFonts w:ascii="Times New Roman" w:hAnsi="Times New Roman"/>
                  <w:sz w:val="20"/>
                  <w:lang w:val="en-US"/>
                </w:rPr>
                <w:t>lviv</w:t>
              </w:r>
              <w:r w:rsidR="00AD7118" w:rsidRPr="00C63A35">
                <w:rPr>
                  <w:rStyle w:val="a5"/>
                  <w:rFonts w:ascii="Times New Roman" w:hAnsi="Times New Roman"/>
                  <w:sz w:val="20"/>
                </w:rPr>
                <w:t>@spfu.gov.ua</w:t>
              </w:r>
            </w:hyperlink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63A3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Орендаря, на яку </w:t>
            </w:r>
            <w:r w:rsidRPr="00C63A35">
              <w:rPr>
                <w:rFonts w:ascii="Times New Roman" w:hAnsi="Times New Roman"/>
                <w:sz w:val="20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461B24" w:rsidP="00B81ED3">
            <w:pPr>
              <w:spacing w:before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hyperlink r:id="rId7" w:history="1">
              <w:r w:rsidR="00C63A35" w:rsidRPr="00C63A35">
                <w:rPr>
                  <w:rStyle w:val="a5"/>
                  <w:rFonts w:ascii="Times New Roman" w:hAnsi="Times New Roman"/>
                  <w:sz w:val="20"/>
                  <w:lang w:val="en-US"/>
                </w:rPr>
                <w:t>Nvishivanyik@vodafone.ua</w:t>
              </w:r>
            </w:hyperlink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326BB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D64336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326BB0">
            <w:pPr>
              <w:spacing w:before="12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Об’єкт оренди та склад майна (далі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—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Майно)</w:t>
            </w: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Інформація про об’єкт оренди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—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A35179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або посилання на опубліковане відповідно до Порядку інформаційне повідомлення/інформацію про об’єкт оренди, якщо договір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укладено без проведення аукціону (в обсязі, передбаченому пунктом 115 або 26 Порядку)</w:t>
            </w:r>
          </w:p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_________________________________________________________________________________</w:t>
            </w:r>
          </w:p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63A35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не належить</w:t>
            </w:r>
          </w:p>
        </w:tc>
      </w:tr>
      <w:tr w:rsidR="00811EB9" w:rsidRPr="00C63A35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Процедура, в результаті якої Майно отримано в оренду</w:t>
            </w:r>
          </w:p>
        </w:tc>
      </w:tr>
      <w:tr w:rsidR="00811EB9" w:rsidRPr="00C63A35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b/>
                <w:sz w:val="20"/>
              </w:rPr>
              <w:t>(</w:t>
            </w:r>
            <w:r w:rsidR="00D64336" w:rsidRPr="00C63A35">
              <w:rPr>
                <w:rFonts w:ascii="Times New Roman" w:hAnsi="Times New Roman"/>
                <w:b/>
                <w:sz w:val="20"/>
              </w:rPr>
              <w:t>В</w:t>
            </w:r>
            <w:r w:rsidRPr="00C63A35">
              <w:rPr>
                <w:rFonts w:ascii="Times New Roman" w:hAnsi="Times New Roman"/>
                <w:b/>
                <w:sz w:val="20"/>
              </w:rPr>
              <w:t xml:space="preserve">) продовження – </w:t>
            </w:r>
            <w:r w:rsidR="00D64336" w:rsidRPr="00C63A35">
              <w:rPr>
                <w:rFonts w:ascii="Times New Roman" w:hAnsi="Times New Roman"/>
                <w:b/>
                <w:sz w:val="20"/>
              </w:rPr>
              <w:t xml:space="preserve">за результатами </w:t>
            </w:r>
            <w:r w:rsidRPr="00C63A35">
              <w:rPr>
                <w:rFonts w:ascii="Times New Roman" w:hAnsi="Times New Roman"/>
                <w:b/>
                <w:sz w:val="20"/>
              </w:rPr>
              <w:t>проведення аукціону</w:t>
            </w: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Вартість Майна</w:t>
            </w:r>
          </w:p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  <w:t>(1)</w:t>
            </w:r>
          </w:p>
          <w:p w:rsidR="00811EB9" w:rsidRPr="00C63A35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  <w:t>№ 157-I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X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“Про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оренду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державного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комунального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майна” (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Відомості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Верховної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Ради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2020 р., </w:t>
            </w:r>
            <w:proofErr w:type="gram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№ 4,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br/>
              <w:t xml:space="preserve"> ст. 25)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(далі ― Закон)</w:t>
            </w:r>
            <w:proofErr w:type="gramEnd"/>
          </w:p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17310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A3517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оцінки</w:t>
            </w:r>
          </w:p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затвердження висновку про вартість Майна</w:t>
            </w:r>
          </w:p>
          <w:p w:rsidR="00811EB9" w:rsidRPr="00C63A35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рецензії</w:t>
            </w:r>
          </w:p>
          <w:p w:rsidR="00811EB9" w:rsidRPr="00C63A35" w:rsidRDefault="00811EB9" w:rsidP="00A3517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Страхова вартість</w:t>
            </w:r>
          </w:p>
          <w:p w:rsidR="00811EB9" w:rsidRPr="00C63A35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6.2.1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811EB9" w:rsidRPr="00C63A35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63A35" w:rsidRDefault="00811EB9" w:rsidP="00A3517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C63A35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63A35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63A35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Витрати </w:t>
                  </w:r>
                  <w:proofErr w:type="spellStart"/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Балансоутримувача</w:t>
                  </w:r>
                  <w:proofErr w:type="spellEnd"/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, пов’язані із проведенням оцінки Майна</w:t>
                  </w:r>
                </w:p>
                <w:p w:rsidR="00EB0CF8" w:rsidRPr="00C63A35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63A35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сума (гривень) 0 грн</w:t>
                  </w:r>
                </w:p>
              </w:tc>
            </w:tr>
          </w:tbl>
          <w:p w:rsidR="00EB0CF8" w:rsidRPr="00C63A35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EB0CF8" w:rsidRPr="00C63A35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Витрати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пов’язані із проведенням оцінки Майна</w:t>
            </w:r>
          </w:p>
          <w:p w:rsidR="00EB0CF8" w:rsidRPr="00C63A35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EB0CF8" w:rsidRPr="00C63A35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(гривень) 0 грн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Цільове призначення Майна</w:t>
            </w:r>
          </w:p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419F" w:rsidRPr="00C63A35" w:rsidRDefault="0011419F" w:rsidP="0011419F">
            <w:pPr>
              <w:pStyle w:val="a7"/>
              <w:rPr>
                <w:rStyle w:val="a6"/>
                <w:rFonts w:ascii="Times New Roman" w:hAnsi="Times New Roman"/>
              </w:rPr>
            </w:pPr>
          </w:p>
          <w:p w:rsidR="00EB0CF8" w:rsidRPr="00C63A35" w:rsidRDefault="00EB0CF8" w:rsidP="003026CB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3A35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63A35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Графік використання (заповнюється, якщо майно передається в погодинну оренду)</w:t>
            </w:r>
          </w:p>
          <w:p w:rsidR="00EB0CF8" w:rsidRPr="00C63A35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63A35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відсутній</w:t>
            </w:r>
            <w:proofErr w:type="spellEnd"/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Орендна плата та інші платежі</w:t>
            </w:r>
          </w:p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DB589A" w:rsidP="00A91A0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грн.без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ПДВ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Витрати на утримання орендованого Майна та надання комунальних послуг Орендарю</w:t>
            </w:r>
          </w:p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9A662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компенсуються Орендарем в порядку, передбаченому пунктом </w:t>
            </w:r>
            <w:r w:rsidR="009A6623" w:rsidRPr="00C63A35"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.</w:t>
            </w:r>
            <w:r w:rsidR="009A6623" w:rsidRPr="00C63A35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. договору 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Розмір авансового внеску орендної плати</w:t>
            </w:r>
          </w:p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10.1</w:t>
            </w:r>
          </w:p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(1)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63A35" w:rsidRDefault="00DB589A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грн. без ПДВ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Pr="00C63A35" w:rsidRDefault="0011419F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грн.</w:t>
            </w:r>
          </w:p>
          <w:p w:rsidR="00EB0CF8" w:rsidRPr="00C63A35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гривень, без податку на додану вартість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Pr="00C63A35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Pr="00C63A35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Строк договору</w:t>
            </w:r>
          </w:p>
          <w:p w:rsidR="00EB0CF8" w:rsidRPr="00C63A35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63A35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12.1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63A35" w:rsidRDefault="00EB0CF8" w:rsidP="0011419F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Цей договір діє </w:t>
            </w:r>
            <w:r w:rsidR="0011419F" w:rsidRPr="00C63A35">
              <w:rPr>
                <w:rFonts w:ascii="Times New Roman" w:hAnsi="Times New Roman"/>
                <w:color w:val="000000"/>
                <w:sz w:val="20"/>
              </w:rPr>
              <w:t>3 (три) роки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Згода на суборенду</w:t>
            </w:r>
            <w:r w:rsidRPr="00C63A35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Орендодавець не надавав згоду на передачу майна в </w:t>
            </w:r>
          </w:p>
          <w:p w:rsidR="00EB0CF8" w:rsidRPr="00C63A35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(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/не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Pr="00C63A35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суборенду згідно з оголошенням про передачу майна в оренду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41C4B">
            <w:pPr>
              <w:spacing w:before="120"/>
              <w:ind w:left="7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відсутні 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63A35" w:rsidRDefault="00EB0CF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63A35" w:rsidRDefault="00EB0CF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Орендодавця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63A35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63A35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63A35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EB0CF8" w:rsidRPr="00C63A35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63A3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63A35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Одержувач: РВ ФДМУ по Львівській, Закарпатській та Волинській областях ЄДРПОУ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2899921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Банк ДКСУ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м.Київ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МФО 820172 рахунок UA 878201720355239001001157855</w:t>
            </w:r>
          </w:p>
        </w:tc>
      </w:tr>
      <w:tr w:rsidR="00EB0CF8" w:rsidRPr="00C63A35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63A3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державному бюджету 50 відсотків суми орендної плати</w:t>
            </w:r>
          </w:p>
          <w:p w:rsidR="00EB0CF8" w:rsidRPr="00C63A35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11EB9" w:rsidRPr="00C63A35" w:rsidRDefault="00811EB9" w:rsidP="00811EB9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811EB9" w:rsidRPr="00C63A35" w:rsidRDefault="00811EB9" w:rsidP="00C41C4B">
      <w:pPr>
        <w:ind w:firstLine="567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color w:val="000000"/>
          <w:sz w:val="20"/>
        </w:rPr>
        <w:lastRenderedPageBreak/>
        <w:br/>
      </w:r>
      <w:r w:rsidRPr="00C63A35">
        <w:rPr>
          <w:rFonts w:ascii="Times New Roman" w:hAnsi="Times New Roman"/>
          <w:sz w:val="20"/>
        </w:rPr>
        <w:t xml:space="preserve"> Незмінювані умови договору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Предмет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1.1. Орендодавець і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1.2. Майно передається в оренду для використання згідно з пунктом 7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Умови передачі орендованого Майна Орендарю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Акт приймання-передачі підписується між Орендарем 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одночасно з підписанням цього договору.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Орендна плата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63A35">
        <w:rPr>
          <w:rFonts w:ascii="Times New Roman" w:hAnsi="Times New Roman"/>
          <w:sz w:val="20"/>
        </w:rPr>
        <w:t>внутрішньобудинкових</w:t>
      </w:r>
      <w:proofErr w:type="spellEnd"/>
      <w:r w:rsidRPr="00C63A35">
        <w:rPr>
          <w:rFonts w:ascii="Times New Roman" w:hAnsi="Times New Roman"/>
          <w:sz w:val="20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C63A35" w:rsidRDefault="00DA3664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</w:t>
      </w:r>
      <w:r w:rsidR="00811EB9" w:rsidRPr="00C63A35">
        <w:rPr>
          <w:rFonts w:ascii="Times New Roman" w:hAnsi="Times New Roman"/>
          <w:sz w:val="20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C63A35" w:rsidRDefault="00124FE4" w:rsidP="00124FE4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3.2.Орендна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C63A35" w:rsidRDefault="00124FE4" w:rsidP="00124FE4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          </w:t>
      </w:r>
      <w:r w:rsidR="00811EB9" w:rsidRPr="00C63A35">
        <w:rPr>
          <w:rFonts w:ascii="Times New Roman" w:hAnsi="Times New Roman"/>
          <w:sz w:val="20"/>
        </w:rPr>
        <w:t xml:space="preserve">3.3. Орендар сплачує орендну плату до державного бюджету та </w:t>
      </w:r>
      <w:proofErr w:type="spellStart"/>
      <w:r w:rsidR="00811EB9"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="00811EB9" w:rsidRPr="00C63A35">
        <w:rPr>
          <w:rFonts w:ascii="Times New Roman" w:hAnsi="Times New Roman"/>
          <w:sz w:val="20"/>
        </w:rPr>
        <w:t xml:space="preserve"> у співвідношенні, визначеному у пункті 16 Умов  щомісяця:</w:t>
      </w:r>
      <w:r w:rsidR="00DA3664" w:rsidRPr="00C63A35">
        <w:rPr>
          <w:rFonts w:ascii="Times New Roman" w:hAnsi="Times New Roman"/>
          <w:sz w:val="20"/>
        </w:rPr>
        <w:t xml:space="preserve"> </w:t>
      </w:r>
      <w:r w:rsidR="00811EB9" w:rsidRPr="00C63A35">
        <w:rPr>
          <w:rFonts w:ascii="Times New Roman" w:hAnsi="Times New Roman"/>
          <w:sz w:val="20"/>
        </w:rPr>
        <w:t>до 15 числа, що настає за поточним місяцем оренди</w:t>
      </w:r>
      <w:r w:rsidR="00DA3664"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3.4. Орендар сплачує орендну плату на підставі рахунків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3.6.</w:t>
      </w:r>
      <w:r w:rsidR="00DA3664" w:rsidRPr="00C63A35">
        <w:rPr>
          <w:rFonts w:ascii="Times New Roman" w:hAnsi="Times New Roman"/>
          <w:sz w:val="20"/>
        </w:rPr>
        <w:t xml:space="preserve"> </w:t>
      </w:r>
      <w:r w:rsidRPr="00C63A35">
        <w:rPr>
          <w:rFonts w:ascii="Times New Roman" w:hAnsi="Times New Roman"/>
          <w:sz w:val="20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C63A35">
        <w:rPr>
          <w:rFonts w:ascii="Times New Roman" w:hAnsi="Times New Roman"/>
          <w:sz w:val="20"/>
          <w:lang w:val="en-US"/>
        </w:rPr>
        <w:t> </w:t>
      </w:r>
      <w:r w:rsidRPr="00C63A35">
        <w:rPr>
          <w:rFonts w:ascii="Times New Roman" w:hAnsi="Times New Roman"/>
          <w:sz w:val="20"/>
        </w:rPr>
        <w:t>календарних днів з моменту набрання чинності відповідними змінами.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(в частині, належній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). Орендодавець і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3.10. Надміру сплачена сума орендної плати, що надійшла до бюджету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C63A35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Повернення Майна з оренди і забезпечувальний депозит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4.1. У разі припинення договору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то разом із такими </w:t>
      </w:r>
      <w:proofErr w:type="spellStart"/>
      <w:r w:rsidRPr="00C63A35">
        <w:rPr>
          <w:rFonts w:ascii="Times New Roman" w:hAnsi="Times New Roman"/>
          <w:sz w:val="20"/>
        </w:rPr>
        <w:t>поліпшеннями</w:t>
      </w:r>
      <w:proofErr w:type="spellEnd"/>
      <w:r w:rsidRPr="00C63A35">
        <w:rPr>
          <w:rFonts w:ascii="Times New Roman" w:hAnsi="Times New Roman"/>
          <w:sz w:val="20"/>
        </w:rPr>
        <w:t>/капітальним ремонтом;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платежі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відшкодувати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4.2. Протягом трьох робочих днів з моменту припинення цього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примірники Орендарю.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зобов’язаний: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і одночасно повернути </w:t>
      </w:r>
      <w:proofErr w:type="spellStart"/>
      <w:r w:rsidRPr="00C63A35">
        <w:rPr>
          <w:rFonts w:ascii="Times New Roman" w:hAnsi="Times New Roman"/>
          <w:sz w:val="20"/>
        </w:rPr>
        <w:lastRenderedPageBreak/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звільнити Майно одночасно із поверненням підписаних Орендарем актів.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Не пізніше ніж на четвертий робочий день після припинення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4.3. Майно вважається повернутим з оренди з моменту підписання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4.4. Якщо Орендар не повертає Майно після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Орендодавця з метою складення такого акта;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>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другу чергу погашаються зобов’язання Орендаря із сплати неустойки (пункт 4.4 цього договору);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>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п’яту чергу погашаються зобов’язання Орендаря із сплати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платежів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Поліпшення і ремонт орендованого майна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5.1. Орендар має право: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 згодою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5.2. Порядок отримання Орендарем згоди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C63A35">
        <w:rPr>
          <w:rFonts w:ascii="Times New Roman" w:hAnsi="Times New Roman"/>
          <w:sz w:val="20"/>
        </w:rPr>
        <w:t>майна”</w:t>
      </w:r>
      <w:proofErr w:type="spellEnd"/>
      <w:r w:rsidRPr="00C63A35">
        <w:rPr>
          <w:rFonts w:ascii="Times New Roman" w:hAnsi="Times New Roman"/>
          <w:sz w:val="20"/>
        </w:rPr>
        <w:t xml:space="preserve"> (Відомості Верховної Ради України, 2018 р., № 12, ст. 68) (далі ― Закон про приватизацію).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Режим використання орендованого Майна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6.3.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проводити внутрішні розслідування випадків пожеж та подавати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відповідні документи розслідування.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6.4. Орендар зобов’язаний забезпечити представникам Орендодавця та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то у будь-який інший час) з метою здійснення контролю за його використанням </w:t>
      </w:r>
      <w:r w:rsidRPr="00C63A35">
        <w:rPr>
          <w:rFonts w:ascii="Times New Roman" w:hAnsi="Times New Roman"/>
          <w:sz w:val="20"/>
        </w:rPr>
        <w:lastRenderedPageBreak/>
        <w:t xml:space="preserve">та виконанням Орендарем умов цього договору. Про необхідність отримання доступу до об’єкта оренди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6.5. Протягом п’яти робочих днів з дати укладення цього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надати Орендарю для підписання: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два примірники договору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підписати і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 договору;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bookmarkStart w:id="0" w:name="_heading=h.1fob9te"/>
      <w:bookmarkEnd w:id="0"/>
      <w:r w:rsidRPr="00C63A35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. Орендар зобов’язаний надати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копії договорів, укладених із постачальниками комунальних послуг.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за охоронним договором, який є додатком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C63A35" w:rsidRDefault="00811EB9" w:rsidP="00811EB9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“Протягом </w:t>
      </w:r>
      <w:r w:rsidR="00533D24" w:rsidRPr="00C63A35">
        <w:rPr>
          <w:rFonts w:ascii="Times New Roman" w:hAnsi="Times New Roman"/>
          <w:sz w:val="20"/>
        </w:rPr>
        <w:t>-</w:t>
      </w:r>
      <w:r w:rsidRPr="00C63A35">
        <w:rPr>
          <w:rFonts w:ascii="Times New Roman" w:hAnsi="Times New Roman"/>
          <w:sz w:val="20"/>
        </w:rPr>
        <w:t xml:space="preserve"> Орендар зобов’язаний</w:t>
      </w:r>
      <w:r w:rsidRPr="00C63A35">
        <w:rPr>
          <w:rFonts w:ascii="Times New Roman" w:hAnsi="Times New Roman"/>
          <w:sz w:val="20"/>
        </w:rPr>
        <w:br/>
        <w:t xml:space="preserve">                                   (період)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C63A35">
        <w:rPr>
          <w:rFonts w:ascii="Times New Roman" w:hAnsi="Times New Roman"/>
          <w:sz w:val="20"/>
        </w:rPr>
        <w:t>аудит.”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7.1.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C63A35">
        <w:rPr>
          <w:rFonts w:ascii="Times New Roman" w:hAnsi="Times New Roman"/>
          <w:sz w:val="20"/>
        </w:rPr>
        <w:br/>
        <w:t xml:space="preserve">пункті 6.2 Умов, на користь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</w:t>
      </w:r>
      <w:r w:rsidRPr="00C63A35">
        <w:rPr>
          <w:rFonts w:ascii="Times New Roman" w:hAnsi="Times New Roman"/>
          <w:sz w:val="20"/>
        </w:rPr>
        <w:lastRenderedPageBreak/>
        <w:t>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Оплата послуг страховика здійснюється за рахунок Орендаря (страхувальника).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таких витрат).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має право зарахувати частину орендної плати, що підлягає сплаті на користь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, в рахунок його витрат, пов’язаних із проведенням незалежної оцінки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таких витрат).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Суборенда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8.1. Орендар не має права передавати Майно в суборенду.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Запевнення сторін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9.1.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і Орендодавець запевняють Орендаря, 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9.2.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Додаткові умови оренди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Відповідальність і вирішення спорів за договором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C63A35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Строк чинності, умови зміни та припинення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Оприлюднення на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 Договір припиняється: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 з підстав, передбачених частиною першою статті 24 Закону, і при цьому: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C63A35" w:rsidRDefault="00811EB9" w:rsidP="00811EB9">
      <w:pPr>
        <w:ind w:firstLine="567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</w:t>
      </w:r>
      <w:r w:rsidRPr="00C63A35">
        <w:rPr>
          <w:rFonts w:ascii="Times New Roman" w:hAnsi="Times New Roman"/>
          <w:sz w:val="20"/>
        </w:rPr>
        <w:lastRenderedPageBreak/>
        <w:t>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63A35">
        <w:rPr>
          <w:rFonts w:ascii="Times New Roman" w:hAnsi="Times New Roman"/>
          <w:sz w:val="20"/>
          <w:lang w:val="en-US"/>
        </w:rPr>
        <w:t> </w:t>
      </w:r>
      <w:r w:rsidRPr="00C63A35">
        <w:rPr>
          <w:rFonts w:ascii="Times New Roman" w:hAnsi="Times New Roman"/>
          <w:sz w:val="20"/>
        </w:rPr>
        <w:t>— на підставі протоколу аукціону (рішення Орендодавця не вимагається);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такому разі договір вважається припиненим: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 дати набрання законної сили рішенням суду про відмову у позові Орендаря;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повинен скласти акт та повідомити Орендодавцю.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 Договір може бути достроково припинений на вимогу Орендодавця, якщо Орендар: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12.7.4. уклав договір суборенди з особами, які не відповідають вимогам статті 4 Закону;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12.7.5. перешкоджає співробітникам Орендодавця та/або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здійснювати контроль за використанням Майна, виконанням умов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12.7.6. порушує додаткові умови оренди, зазначені у пункті 14 Умов;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12.9. Цей договір може бути достроково припинений на вимогу Орендаря, якщо: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укласти із Орендарем договір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 відсутності зауважень Орендодавця та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, передбачених абзацом другим цього пункту: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63A35">
        <w:rPr>
          <w:rFonts w:ascii="Times New Roman" w:hAnsi="Times New Roman"/>
          <w:sz w:val="20"/>
        </w:rPr>
        <w:lastRenderedPageBreak/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12.11. У разі припинення договору: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власністю держави;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pacing w:val="-4"/>
          <w:sz w:val="20"/>
        </w:rPr>
        <w:t xml:space="preserve">12.12. Майно вважається поверненим Орендодавцю/ </w:t>
      </w:r>
      <w:proofErr w:type="spellStart"/>
      <w:r w:rsidRPr="00C63A35">
        <w:rPr>
          <w:rFonts w:ascii="Times New Roman" w:hAnsi="Times New Roman"/>
          <w:spacing w:val="-4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pacing w:val="-4"/>
          <w:sz w:val="20"/>
        </w:rPr>
        <w:t xml:space="preserve"> </w:t>
      </w:r>
      <w:r w:rsidRPr="00C63A35">
        <w:rPr>
          <w:rFonts w:ascii="Times New Roman" w:hAnsi="Times New Roman"/>
          <w:sz w:val="20"/>
        </w:rPr>
        <w:t xml:space="preserve">з моменту підписання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Інше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13.3. Якщо протягом строку дії договору відбувається зміна Орендодавця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Майна, новий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. Акт про заміну сторони підписується попереднім і новим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Заміна сторони Орендаря набуває чинності з дня внесення змін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Заміна Орендаря інша, ніж передбачена цим пунктом, не допускається.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C05428" w:rsidRDefault="00C05428" w:rsidP="00811EB9">
      <w:pPr>
        <w:pStyle w:val="a3"/>
        <w:jc w:val="both"/>
        <w:rPr>
          <w:rFonts w:ascii="Times New Roman" w:hAnsi="Times New Roman"/>
          <w:sz w:val="20"/>
        </w:rPr>
      </w:pPr>
    </w:p>
    <w:p w:rsidR="00F40E30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F40E30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F40E30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F40E30" w:rsidRPr="00C63A35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C63A35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Pr="00C63A35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6C7DC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63A35">
              <w:rPr>
                <w:rFonts w:ascii="Times New Roman" w:hAnsi="Times New Roman"/>
                <w:sz w:val="20"/>
              </w:rPr>
              <w:t>_______</w:t>
            </w:r>
            <w:r w:rsidR="00C05428" w:rsidRPr="00C63A35">
              <w:rPr>
                <w:rFonts w:ascii="Times New Roman" w:hAnsi="Times New Roman"/>
                <w:sz w:val="20"/>
              </w:rPr>
              <w:t>___________</w:t>
            </w:r>
            <w:r w:rsidR="006C7DC1" w:rsidRPr="00C63A35">
              <w:rPr>
                <w:rFonts w:ascii="Times New Roman" w:hAnsi="Times New Roman"/>
                <w:sz w:val="20"/>
              </w:rPr>
              <w:t xml:space="preserve"> </w:t>
            </w:r>
            <w:r w:rsidR="00C63A35" w:rsidRPr="00C63A35">
              <w:rPr>
                <w:rFonts w:ascii="Times New Roman" w:hAnsi="Times New Roman"/>
                <w:sz w:val="20"/>
              </w:rPr>
              <w:t>Сергій ФІЦИК</w:t>
            </w:r>
          </w:p>
          <w:p w:rsidR="00C05428" w:rsidRPr="00C63A35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1EB9" w:rsidRPr="00C63A35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Pr="00C63A35" w:rsidRDefault="00C05428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0C3AE7" w:rsidRPr="00C63A35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625C5B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_________</w:t>
            </w:r>
            <w:r w:rsidR="00C05428" w:rsidRPr="00C63A35">
              <w:rPr>
                <w:rFonts w:ascii="Times New Roman" w:hAnsi="Times New Roman"/>
                <w:sz w:val="20"/>
              </w:rPr>
              <w:t>_________</w:t>
            </w:r>
            <w:r w:rsidRPr="00C63A35">
              <w:rPr>
                <w:rFonts w:ascii="Times New Roman" w:hAnsi="Times New Roman"/>
                <w:sz w:val="20"/>
              </w:rPr>
              <w:t>Владислав КАЛИНЕЦЬ</w:t>
            </w:r>
          </w:p>
        </w:tc>
      </w:tr>
      <w:tr w:rsidR="00811EB9" w:rsidRPr="00C63A35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Pr="00C63A35" w:rsidRDefault="00C05428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Від </w:t>
            </w:r>
            <w:proofErr w:type="spellStart"/>
            <w:r w:rsidRPr="00C63A35">
              <w:rPr>
                <w:rFonts w:ascii="Times New Roman" w:hAnsi="Times New Roman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Pr="00C63A35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C05428" w:rsidRPr="00C63A35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D42B6D" w:rsidP="002F7B1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_________</w:t>
            </w:r>
            <w:r w:rsidR="00C05428" w:rsidRPr="00C63A35">
              <w:rPr>
                <w:rFonts w:ascii="Times New Roman" w:hAnsi="Times New Roman"/>
                <w:sz w:val="20"/>
              </w:rPr>
              <w:t>_________</w:t>
            </w:r>
            <w:r w:rsidR="00EE1D44" w:rsidRPr="00C63A35">
              <w:rPr>
                <w:rFonts w:ascii="Times New Roman" w:hAnsi="Times New Roman"/>
                <w:sz w:val="20"/>
              </w:rPr>
              <w:t xml:space="preserve"> </w:t>
            </w:r>
            <w:r w:rsidR="00815C6E" w:rsidRPr="00C63A35">
              <w:rPr>
                <w:rFonts w:ascii="Times New Roman" w:hAnsi="Times New Roman"/>
                <w:sz w:val="20"/>
              </w:rPr>
              <w:t>Юрій БОБАЛО</w:t>
            </w:r>
          </w:p>
        </w:tc>
      </w:tr>
    </w:tbl>
    <w:p w:rsidR="00811EB9" w:rsidRPr="00C63A35" w:rsidRDefault="00811EB9" w:rsidP="00F40E30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0"/>
        </w:rPr>
      </w:pPr>
    </w:p>
    <w:sectPr w:rsidR="00811EB9" w:rsidRPr="00C63A35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26" w:rsidRDefault="00EB4426" w:rsidP="0029676C">
      <w:r>
        <w:separator/>
      </w:r>
    </w:p>
  </w:endnote>
  <w:endnote w:type="continuationSeparator" w:id="0">
    <w:p w:rsidR="00EB4426" w:rsidRDefault="00EB4426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26" w:rsidRDefault="00EB4426" w:rsidP="0029676C">
      <w:r>
        <w:separator/>
      </w:r>
    </w:p>
  </w:footnote>
  <w:footnote w:type="continuationSeparator" w:id="0">
    <w:p w:rsidR="00EB4426" w:rsidRDefault="00EB4426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461B24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461B24">
    <w:pPr>
      <w:framePr w:wrap="around" w:vAnchor="text" w:hAnchor="margin" w:xAlign="center" w:y="1"/>
    </w:pPr>
    <w:fldSimple w:instr="PAGE  ">
      <w:r w:rsidR="00FA529B">
        <w:rPr>
          <w:noProof/>
        </w:rPr>
        <w:t>3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90345"/>
    <w:rsid w:val="000B7FF7"/>
    <w:rsid w:val="000C3AE7"/>
    <w:rsid w:val="000E71DF"/>
    <w:rsid w:val="001109A9"/>
    <w:rsid w:val="0011419F"/>
    <w:rsid w:val="001162EB"/>
    <w:rsid w:val="00124FE4"/>
    <w:rsid w:val="00142F4D"/>
    <w:rsid w:val="0016115F"/>
    <w:rsid w:val="00173104"/>
    <w:rsid w:val="00175F59"/>
    <w:rsid w:val="00193AEC"/>
    <w:rsid w:val="001A5188"/>
    <w:rsid w:val="001C208F"/>
    <w:rsid w:val="001C6E8B"/>
    <w:rsid w:val="001E1282"/>
    <w:rsid w:val="001E5FC1"/>
    <w:rsid w:val="001E69F2"/>
    <w:rsid w:val="001F6356"/>
    <w:rsid w:val="00204B11"/>
    <w:rsid w:val="002056DF"/>
    <w:rsid w:val="00207C53"/>
    <w:rsid w:val="00212F0F"/>
    <w:rsid w:val="0023340B"/>
    <w:rsid w:val="0024214F"/>
    <w:rsid w:val="002535F8"/>
    <w:rsid w:val="00290A85"/>
    <w:rsid w:val="00291C0B"/>
    <w:rsid w:val="0029676C"/>
    <w:rsid w:val="002969D8"/>
    <w:rsid w:val="002B6CB4"/>
    <w:rsid w:val="002D7123"/>
    <w:rsid w:val="002F5F02"/>
    <w:rsid w:val="002F7B1F"/>
    <w:rsid w:val="003026CB"/>
    <w:rsid w:val="0030650F"/>
    <w:rsid w:val="0031102D"/>
    <w:rsid w:val="00326BB0"/>
    <w:rsid w:val="00346F32"/>
    <w:rsid w:val="00384F05"/>
    <w:rsid w:val="003929E7"/>
    <w:rsid w:val="003A7994"/>
    <w:rsid w:val="0040386A"/>
    <w:rsid w:val="00405E47"/>
    <w:rsid w:val="00423CCF"/>
    <w:rsid w:val="004254DA"/>
    <w:rsid w:val="00444619"/>
    <w:rsid w:val="00461B24"/>
    <w:rsid w:val="00474003"/>
    <w:rsid w:val="00495A3E"/>
    <w:rsid w:val="004B1555"/>
    <w:rsid w:val="004C2DE3"/>
    <w:rsid w:val="004C557A"/>
    <w:rsid w:val="004C737A"/>
    <w:rsid w:val="004F1E7A"/>
    <w:rsid w:val="004F2C98"/>
    <w:rsid w:val="00533D24"/>
    <w:rsid w:val="005569C8"/>
    <w:rsid w:val="00557F95"/>
    <w:rsid w:val="005E1E80"/>
    <w:rsid w:val="005E5CC7"/>
    <w:rsid w:val="005F7275"/>
    <w:rsid w:val="00625C5B"/>
    <w:rsid w:val="00636144"/>
    <w:rsid w:val="006510E8"/>
    <w:rsid w:val="00692292"/>
    <w:rsid w:val="006A6133"/>
    <w:rsid w:val="006C7DC1"/>
    <w:rsid w:val="006D6E2E"/>
    <w:rsid w:val="006F422C"/>
    <w:rsid w:val="00716EC1"/>
    <w:rsid w:val="00746F77"/>
    <w:rsid w:val="0076654A"/>
    <w:rsid w:val="00795ED4"/>
    <w:rsid w:val="007A709E"/>
    <w:rsid w:val="007A7C32"/>
    <w:rsid w:val="007C523B"/>
    <w:rsid w:val="007D3124"/>
    <w:rsid w:val="008022FD"/>
    <w:rsid w:val="00811EB9"/>
    <w:rsid w:val="00815C6E"/>
    <w:rsid w:val="008255AB"/>
    <w:rsid w:val="008361AD"/>
    <w:rsid w:val="00844366"/>
    <w:rsid w:val="00851885"/>
    <w:rsid w:val="0087506C"/>
    <w:rsid w:val="00884B71"/>
    <w:rsid w:val="008A6475"/>
    <w:rsid w:val="008B6B87"/>
    <w:rsid w:val="008C33F8"/>
    <w:rsid w:val="008E2DFD"/>
    <w:rsid w:val="008F02B2"/>
    <w:rsid w:val="008F13A5"/>
    <w:rsid w:val="009025CC"/>
    <w:rsid w:val="009269D2"/>
    <w:rsid w:val="009273A2"/>
    <w:rsid w:val="00933FCA"/>
    <w:rsid w:val="0093428F"/>
    <w:rsid w:val="00942949"/>
    <w:rsid w:val="0099102E"/>
    <w:rsid w:val="009936B9"/>
    <w:rsid w:val="009A0D32"/>
    <w:rsid w:val="009A6623"/>
    <w:rsid w:val="009A770A"/>
    <w:rsid w:val="009B300F"/>
    <w:rsid w:val="00A00E4A"/>
    <w:rsid w:val="00A13FF6"/>
    <w:rsid w:val="00A31C5C"/>
    <w:rsid w:val="00A35179"/>
    <w:rsid w:val="00A35249"/>
    <w:rsid w:val="00A56C52"/>
    <w:rsid w:val="00A63F0F"/>
    <w:rsid w:val="00A84919"/>
    <w:rsid w:val="00A91A01"/>
    <w:rsid w:val="00A96F63"/>
    <w:rsid w:val="00AD7118"/>
    <w:rsid w:val="00B00203"/>
    <w:rsid w:val="00B006A8"/>
    <w:rsid w:val="00B035D2"/>
    <w:rsid w:val="00B33B56"/>
    <w:rsid w:val="00B650F9"/>
    <w:rsid w:val="00B81815"/>
    <w:rsid w:val="00B81ED3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6064F"/>
    <w:rsid w:val="00C63A35"/>
    <w:rsid w:val="00C805B0"/>
    <w:rsid w:val="00CA0D60"/>
    <w:rsid w:val="00CD4451"/>
    <w:rsid w:val="00CE685D"/>
    <w:rsid w:val="00D200A2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B589A"/>
    <w:rsid w:val="00DD0457"/>
    <w:rsid w:val="00DD13A1"/>
    <w:rsid w:val="00E02ED2"/>
    <w:rsid w:val="00E52486"/>
    <w:rsid w:val="00E64808"/>
    <w:rsid w:val="00EA344F"/>
    <w:rsid w:val="00EB0CF8"/>
    <w:rsid w:val="00EB4426"/>
    <w:rsid w:val="00EC2F69"/>
    <w:rsid w:val="00ED2DFC"/>
    <w:rsid w:val="00EE1D44"/>
    <w:rsid w:val="00EF1471"/>
    <w:rsid w:val="00F07F69"/>
    <w:rsid w:val="00F16C9F"/>
    <w:rsid w:val="00F40E30"/>
    <w:rsid w:val="00F53FFB"/>
    <w:rsid w:val="00F54FFE"/>
    <w:rsid w:val="00F55DD2"/>
    <w:rsid w:val="00F57E42"/>
    <w:rsid w:val="00F95F16"/>
    <w:rsid w:val="00F962A9"/>
    <w:rsid w:val="00FA3264"/>
    <w:rsid w:val="00FA529B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11419F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11419F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11419F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vishivanyik@vodafone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29231</Words>
  <Characters>16662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2</cp:revision>
  <cp:lastPrinted>2021-01-04T10:12:00Z</cp:lastPrinted>
  <dcterms:created xsi:type="dcterms:W3CDTF">2021-02-15T09:38:00Z</dcterms:created>
  <dcterms:modified xsi:type="dcterms:W3CDTF">2021-02-15T09:38:00Z</dcterms:modified>
</cp:coreProperties>
</file>