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F376DA">
        <w:trPr>
          <w:trHeight w:hRule="exact" w:val="1147"/>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DB3D17">
              <w:rPr>
                <w:rFonts w:ascii="Times New Roman" w:hAnsi="Times New Roman" w:cs="Times New Roman"/>
                <w:sz w:val="22"/>
                <w:szCs w:val="22"/>
              </w:rPr>
              <w:t>52,8</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DB3D17">
              <w:rPr>
                <w:rFonts w:ascii="Times New Roman" w:hAnsi="Times New Roman" w:cs="Times New Roman"/>
                <w:sz w:val="22"/>
                <w:szCs w:val="22"/>
              </w:rPr>
              <w:t>33</w:t>
            </w:r>
            <w:r w:rsidRPr="006E5EBB">
              <w:rPr>
                <w:rFonts w:ascii="Times New Roman" w:hAnsi="Times New Roman" w:cs="Times New Roman"/>
                <w:sz w:val="22"/>
                <w:szCs w:val="22"/>
              </w:rPr>
              <w:t xml:space="preserve">,5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DB3D17">
              <w:rPr>
                <w:rFonts w:ascii="Times New Roman" w:hAnsi="Times New Roman" w:cs="Times New Roman"/>
                <w:sz w:val="22"/>
                <w:szCs w:val="22"/>
              </w:rPr>
              <w:t>6</w:t>
            </w:r>
            <w:r w:rsidRPr="006E5EBB">
              <w:rPr>
                <w:rFonts w:ascii="Times New Roman" w:hAnsi="Times New Roman" w:cs="Times New Roman"/>
                <w:sz w:val="22"/>
                <w:szCs w:val="22"/>
              </w:rPr>
              <w:t>-1-</w:t>
            </w:r>
            <w:r w:rsidR="00DB3D17">
              <w:rPr>
                <w:rFonts w:ascii="Times New Roman" w:hAnsi="Times New Roman" w:cs="Times New Roman"/>
                <w:sz w:val="22"/>
                <w:szCs w:val="22"/>
              </w:rPr>
              <w:t>6</w:t>
            </w:r>
            <w:r w:rsidRPr="006E5EBB">
              <w:rPr>
                <w:rFonts w:ascii="Times New Roman" w:hAnsi="Times New Roman" w:cs="Times New Roman"/>
                <w:sz w:val="22"/>
                <w:szCs w:val="22"/>
              </w:rPr>
              <w:t>1</w:t>
            </w:r>
            <w:r w:rsidR="00DB3D17">
              <w:rPr>
                <w:rFonts w:ascii="Times New Roman" w:hAnsi="Times New Roman" w:cs="Times New Roman"/>
                <w:sz w:val="22"/>
                <w:szCs w:val="22"/>
              </w:rPr>
              <w:t>0</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DB3D17">
              <w:rPr>
                <w:rFonts w:ascii="Times New Roman" w:hAnsi="Times New Roman" w:cs="Times New Roman"/>
                <w:sz w:val="22"/>
                <w:szCs w:val="22"/>
              </w:rPr>
              <w:t>шост</w:t>
            </w:r>
            <w:r w:rsidRPr="006E5EBB">
              <w:rPr>
                <w:rFonts w:ascii="Times New Roman" w:hAnsi="Times New Roman" w:cs="Times New Roman"/>
                <w:sz w:val="22"/>
                <w:szCs w:val="22"/>
              </w:rPr>
              <w:t>ому поверсі десятиповерхової нежитлової будівлі</w:t>
            </w:r>
            <w:r w:rsidRPr="006E5EBB">
              <w:rPr>
                <w:rFonts w:ascii="Times New Roman" w:hAnsi="Times New Roman" w:cs="Times New Roman"/>
                <w:sz w:val="22"/>
                <w:szCs w:val="22"/>
                <w:lang w:val="ru-RU"/>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 Чернігів, проспект Миру, 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D81FC7">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DB3D17">
              <w:rPr>
                <w:sz w:val="20"/>
                <w:szCs w:val="20"/>
              </w:rPr>
              <w:t>184 378,1</w:t>
            </w:r>
            <w:r w:rsidR="00D81FC7">
              <w:rPr>
                <w:sz w:val="20"/>
                <w:szCs w:val="20"/>
              </w:rPr>
              <w:t>1</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липня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D81FC7">
            <w:pPr>
              <w:pStyle w:val="a7"/>
              <w:tabs>
                <w:tab w:val="left" w:leader="underscore" w:pos="3298"/>
              </w:tabs>
              <w:spacing w:line="240" w:lineRule="auto"/>
              <w:ind w:firstLine="0"/>
              <w:rPr>
                <w:sz w:val="20"/>
                <w:szCs w:val="20"/>
              </w:rPr>
            </w:pPr>
            <w:r w:rsidRPr="00821D0E">
              <w:rPr>
                <w:sz w:val="20"/>
                <w:szCs w:val="20"/>
              </w:rPr>
              <w:t>Сума (грн), без ПДВ</w:t>
            </w:r>
            <w:r w:rsidR="00BB4C7F">
              <w:rPr>
                <w:sz w:val="20"/>
                <w:szCs w:val="20"/>
              </w:rPr>
              <w:t xml:space="preserve"> </w:t>
            </w:r>
            <w:r w:rsidR="00DB3D17">
              <w:rPr>
                <w:sz w:val="20"/>
                <w:szCs w:val="20"/>
              </w:rPr>
              <w:t>184 378,1</w:t>
            </w:r>
            <w:r w:rsidR="00D81FC7">
              <w:rPr>
                <w:sz w:val="20"/>
                <w:szCs w:val="20"/>
              </w:rPr>
              <w:t>1</w:t>
            </w:r>
            <w:bookmarkStart w:id="3" w:name="_GoBack"/>
            <w:bookmarkEnd w:id="3"/>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F376D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F376DA">
              <w:rPr>
                <w:sz w:val="20"/>
                <w:szCs w:val="20"/>
              </w:rPr>
              <w:t>липень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76" w:rsidRDefault="005A0F76">
      <w:r>
        <w:separator/>
      </w:r>
    </w:p>
  </w:endnote>
  <w:endnote w:type="continuationSeparator" w:id="0">
    <w:p w:rsidR="005A0F76" w:rsidRDefault="005A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76" w:rsidRDefault="005A0F76">
      <w:r>
        <w:separator/>
      </w:r>
    </w:p>
  </w:footnote>
  <w:footnote w:type="continuationSeparator" w:id="0">
    <w:p w:rsidR="005A0F76" w:rsidRDefault="005A0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D81FC7" w:rsidRPr="00D81FC7">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D81FC7" w:rsidRPr="00D81FC7">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D81FC7" w:rsidRPr="00D81FC7">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D81FC7" w:rsidRPr="00D81FC7">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3337CC"/>
    <w:rsid w:val="003745E9"/>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40EC"/>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DFC5-5759-4AB6-A58E-CD12FA3D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6123</Words>
  <Characters>34905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4</cp:revision>
  <cp:lastPrinted>2020-08-25T11:31:00Z</cp:lastPrinted>
  <dcterms:created xsi:type="dcterms:W3CDTF">2020-09-03T07:10:00Z</dcterms:created>
  <dcterms:modified xsi:type="dcterms:W3CDTF">2020-09-03T14:10:00Z</dcterms:modified>
</cp:coreProperties>
</file>