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669"/>
      </w:tblGrid>
      <w:tr w:rsidR="0092215F" w:rsidRPr="00490159" w14:paraId="72260E01" w14:textId="77777777" w:rsidTr="000037D0">
        <w:trPr>
          <w:gridAfter w:val="1"/>
          <w:wAfter w:w="4669" w:type="dxa"/>
          <w:trHeight w:val="315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329C3" w14:textId="77777777" w:rsidR="0092215F" w:rsidRPr="00490159" w:rsidRDefault="0092215F" w:rsidP="0092215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92215F" w:rsidRPr="00490159" w14:paraId="4BF3A82F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4396B" w14:textId="77777777" w:rsidR="0092215F" w:rsidRPr="0049015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B9DDC" w14:textId="2337A736" w:rsidR="0092215F" w:rsidRPr="00490159" w:rsidRDefault="003573F9" w:rsidP="009221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Інст</w:t>
            </w:r>
            <w:r w:rsidR="009A4D2C" w:rsidRPr="00490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000</w:t>
            </w:r>
            <w:r w:rsidR="00490159" w:rsidRPr="00490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29</w:t>
            </w:r>
          </w:p>
        </w:tc>
      </w:tr>
      <w:tr w:rsidR="0092215F" w:rsidRPr="00490159" w14:paraId="60D4F786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7F3CE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112C8" w14:textId="77777777" w:rsidR="001341A2" w:rsidRPr="00490159" w:rsidRDefault="0092215F" w:rsidP="009A4D2C">
            <w:pPr>
              <w:rPr>
                <w:rStyle w:val="a4"/>
                <w:rFonts w:ascii="Times New Roman" w:hAnsi="Times New Roman" w:cs="Times New Roman"/>
                <w:szCs w:val="20"/>
              </w:rPr>
            </w:pPr>
            <w:r w:rsidRPr="00490159">
              <w:rPr>
                <w:rFonts w:cs="Times New Roman"/>
                <w:color w:val="000000"/>
                <w:sz w:val="20"/>
                <w:szCs w:val="20"/>
              </w:rPr>
              <w:t>Електронний Аукціон на</w:t>
            </w:r>
            <w:r w:rsidR="00EA30F4" w:rsidRPr="0049015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481539" w:rsidRPr="00490159">
              <w:rPr>
                <w:rFonts w:cs="Times New Roman"/>
                <w:color w:val="000000"/>
                <w:sz w:val="20"/>
                <w:szCs w:val="20"/>
              </w:rPr>
              <w:t>укладення</w:t>
            </w:r>
            <w:r w:rsidRPr="00490159">
              <w:rPr>
                <w:rFonts w:cs="Times New Roman"/>
                <w:color w:val="000000"/>
                <w:sz w:val="20"/>
                <w:szCs w:val="20"/>
              </w:rPr>
              <w:t xml:space="preserve"> договору оренди державного нерухомого майна</w:t>
            </w:r>
            <w:r w:rsidR="00BD7207" w:rsidRPr="00490159">
              <w:rPr>
                <w:rStyle w:val="a4"/>
                <w:rFonts w:ascii="Times New Roman" w:hAnsi="Times New Roman" w:cs="Times New Roman"/>
                <w:szCs w:val="20"/>
              </w:rPr>
              <w:t>:</w:t>
            </w:r>
          </w:p>
          <w:p w14:paraId="155A608B" w14:textId="77777777" w:rsidR="009A4D2C" w:rsidRPr="00490159" w:rsidRDefault="001341A2" w:rsidP="009A4D2C">
            <w:pPr>
              <w:rPr>
                <w:rFonts w:cs="Times New Roman"/>
                <w:sz w:val="20"/>
                <w:szCs w:val="20"/>
              </w:rPr>
            </w:pPr>
            <w:r w:rsidRPr="00490159">
              <w:rPr>
                <w:rStyle w:val="a4"/>
                <w:rFonts w:ascii="Times New Roman" w:hAnsi="Times New Roman" w:cs="Times New Roman"/>
                <w:szCs w:val="20"/>
              </w:rPr>
              <w:t xml:space="preserve">- </w:t>
            </w:r>
            <w:r w:rsidR="009A4D2C" w:rsidRPr="00490159">
              <w:rPr>
                <w:rStyle w:val="a4"/>
                <w:rFonts w:ascii="Times New Roman" w:hAnsi="Times New Roman" w:cs="Times New Roman"/>
                <w:szCs w:val="20"/>
              </w:rPr>
              <w:t xml:space="preserve">частину приміщень у </w:t>
            </w:r>
            <w:r w:rsidR="00BD7207" w:rsidRPr="00490159">
              <w:rPr>
                <w:rStyle w:val="a4"/>
                <w:rFonts w:ascii="Times New Roman" w:hAnsi="Times New Roman" w:cs="Times New Roman"/>
                <w:szCs w:val="20"/>
              </w:rPr>
              <w:t xml:space="preserve">блоці </w:t>
            </w:r>
            <w:proofErr w:type="spellStart"/>
            <w:r w:rsidR="00BD7207" w:rsidRPr="00490159">
              <w:rPr>
                <w:rStyle w:val="a4"/>
                <w:rFonts w:ascii="Times New Roman" w:hAnsi="Times New Roman" w:cs="Times New Roman"/>
                <w:szCs w:val="20"/>
              </w:rPr>
              <w:t>цехів</w:t>
            </w:r>
            <w:proofErr w:type="spellEnd"/>
            <w:r w:rsidR="0092215F" w:rsidRPr="00490159">
              <w:rPr>
                <w:rFonts w:cs="Times New Roman"/>
                <w:sz w:val="20"/>
                <w:szCs w:val="20"/>
              </w:rPr>
              <w:t xml:space="preserve">, загальною площею </w:t>
            </w:r>
            <w:r w:rsidR="00BD7207" w:rsidRPr="00490159">
              <w:rPr>
                <w:rFonts w:cs="Times New Roman"/>
                <w:b/>
                <w:sz w:val="20"/>
                <w:szCs w:val="20"/>
              </w:rPr>
              <w:t>1136,00</w:t>
            </w:r>
            <w:r w:rsidR="009A4D2C" w:rsidRPr="004901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A4D2C" w:rsidRPr="00490159">
              <w:rPr>
                <w:rFonts w:cs="Times New Roman"/>
                <w:b/>
                <w:sz w:val="20"/>
                <w:szCs w:val="20"/>
              </w:rPr>
              <w:t>м.кв</w:t>
            </w:r>
            <w:proofErr w:type="spellEnd"/>
            <w:r w:rsidR="009A4D2C" w:rsidRPr="00490159">
              <w:rPr>
                <w:rFonts w:cs="Times New Roman"/>
                <w:sz w:val="20"/>
                <w:szCs w:val="20"/>
              </w:rPr>
              <w:t>;</w:t>
            </w:r>
          </w:p>
          <w:p w14:paraId="47367ED3" w14:textId="77777777" w:rsidR="009A4D2C" w:rsidRPr="00490159" w:rsidRDefault="009A4D2C" w:rsidP="009A4D2C">
            <w:pPr>
              <w:rPr>
                <w:rFonts w:cs="Times New Roman"/>
                <w:sz w:val="20"/>
                <w:szCs w:val="20"/>
              </w:rPr>
            </w:pPr>
            <w:r w:rsidRPr="00490159">
              <w:rPr>
                <w:rFonts w:cs="Times New Roman"/>
                <w:sz w:val="20"/>
                <w:szCs w:val="20"/>
              </w:rPr>
              <w:t>- частину відкритого майданчика з тверд</w:t>
            </w:r>
            <w:r w:rsidR="00BD7207" w:rsidRPr="00490159">
              <w:rPr>
                <w:rFonts w:cs="Times New Roman"/>
                <w:sz w:val="20"/>
                <w:szCs w:val="20"/>
              </w:rPr>
              <w:t>им</w:t>
            </w:r>
            <w:r w:rsidRPr="00490159">
              <w:rPr>
                <w:rFonts w:cs="Times New Roman"/>
                <w:sz w:val="20"/>
                <w:szCs w:val="20"/>
              </w:rPr>
              <w:t xml:space="preserve"> покриття</w:t>
            </w:r>
            <w:r w:rsidR="00BD7207" w:rsidRPr="00490159">
              <w:rPr>
                <w:rFonts w:cs="Times New Roman"/>
                <w:sz w:val="20"/>
                <w:szCs w:val="20"/>
              </w:rPr>
              <w:t>м</w:t>
            </w:r>
            <w:r w:rsidRPr="00490159">
              <w:rPr>
                <w:rFonts w:cs="Times New Roman"/>
                <w:sz w:val="20"/>
                <w:szCs w:val="20"/>
              </w:rPr>
              <w:t xml:space="preserve"> загальною площею </w:t>
            </w:r>
            <w:r w:rsidR="00BD7207" w:rsidRPr="00490159">
              <w:rPr>
                <w:rFonts w:cs="Times New Roman"/>
                <w:b/>
                <w:sz w:val="20"/>
                <w:szCs w:val="20"/>
              </w:rPr>
              <w:t>546,00</w:t>
            </w:r>
            <w:r w:rsidRPr="004901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59">
              <w:rPr>
                <w:rFonts w:cs="Times New Roman"/>
                <w:b/>
                <w:sz w:val="20"/>
                <w:szCs w:val="20"/>
              </w:rPr>
              <w:t>м.кв</w:t>
            </w:r>
            <w:proofErr w:type="spellEnd"/>
            <w:r w:rsidRPr="00490159">
              <w:rPr>
                <w:rFonts w:cs="Times New Roman"/>
                <w:b/>
                <w:sz w:val="20"/>
                <w:szCs w:val="20"/>
              </w:rPr>
              <w:t>.</w:t>
            </w:r>
            <w:r w:rsidR="001341A2" w:rsidRPr="00490159">
              <w:rPr>
                <w:rFonts w:cs="Times New Roman"/>
                <w:sz w:val="20"/>
                <w:szCs w:val="20"/>
              </w:rPr>
              <w:t>;</w:t>
            </w:r>
          </w:p>
          <w:p w14:paraId="10AC45B0" w14:textId="77777777" w:rsidR="001341A2" w:rsidRPr="00490159" w:rsidRDefault="001341A2" w:rsidP="009A4D2C">
            <w:pPr>
              <w:rPr>
                <w:rFonts w:cs="Times New Roman"/>
                <w:sz w:val="20"/>
                <w:szCs w:val="20"/>
              </w:rPr>
            </w:pPr>
            <w:r w:rsidRPr="00490159">
              <w:rPr>
                <w:rFonts w:cs="Times New Roman"/>
                <w:sz w:val="20"/>
                <w:szCs w:val="20"/>
              </w:rPr>
              <w:t xml:space="preserve">- </w:t>
            </w:r>
            <w:r w:rsidR="00BD7207" w:rsidRPr="00490159">
              <w:rPr>
                <w:rFonts w:cs="Times New Roman"/>
                <w:sz w:val="20"/>
                <w:szCs w:val="20"/>
              </w:rPr>
              <w:t>частину відкритого майданчика без твердого покриття</w:t>
            </w:r>
            <w:r w:rsidRPr="00490159">
              <w:rPr>
                <w:rFonts w:cs="Times New Roman"/>
                <w:sz w:val="20"/>
                <w:szCs w:val="20"/>
              </w:rPr>
              <w:t xml:space="preserve"> загальною площею </w:t>
            </w:r>
            <w:r w:rsidR="00BD7207" w:rsidRPr="00490159">
              <w:rPr>
                <w:rFonts w:cs="Times New Roman"/>
                <w:b/>
                <w:sz w:val="20"/>
                <w:szCs w:val="20"/>
              </w:rPr>
              <w:t>4048,00</w:t>
            </w:r>
            <w:r w:rsidRPr="004901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90159">
              <w:rPr>
                <w:rFonts w:cs="Times New Roman"/>
                <w:b/>
                <w:sz w:val="20"/>
                <w:szCs w:val="20"/>
              </w:rPr>
              <w:t>кв.м</w:t>
            </w:r>
            <w:proofErr w:type="spellEnd"/>
            <w:r w:rsidRPr="00490159">
              <w:rPr>
                <w:rFonts w:cs="Times New Roman"/>
                <w:sz w:val="20"/>
                <w:szCs w:val="20"/>
              </w:rPr>
              <w:t>.</w:t>
            </w:r>
          </w:p>
          <w:p w14:paraId="3BFA2D08" w14:textId="77777777" w:rsidR="001341A2" w:rsidRPr="00490159" w:rsidRDefault="009A4D2C" w:rsidP="009A4D2C">
            <w:pPr>
              <w:rPr>
                <w:rFonts w:cs="Times New Roman"/>
                <w:sz w:val="20"/>
                <w:szCs w:val="20"/>
              </w:rPr>
            </w:pPr>
            <w:r w:rsidRPr="00490159">
              <w:rPr>
                <w:rFonts w:cs="Times New Roman"/>
                <w:sz w:val="20"/>
                <w:szCs w:val="20"/>
              </w:rPr>
              <w:t>Об’єкти оренди розташовані</w:t>
            </w:r>
            <w:r w:rsidR="0092215F" w:rsidRPr="00490159">
              <w:rPr>
                <w:rFonts w:cs="Times New Roman"/>
                <w:sz w:val="20"/>
                <w:szCs w:val="20"/>
              </w:rPr>
              <w:t xml:space="preserve"> за </w:t>
            </w:r>
            <w:proofErr w:type="spellStart"/>
            <w:r w:rsidR="0092215F" w:rsidRPr="00490159">
              <w:rPr>
                <w:rFonts w:cs="Times New Roman"/>
                <w:sz w:val="20"/>
                <w:szCs w:val="20"/>
              </w:rPr>
              <w:t>адресою</w:t>
            </w:r>
            <w:proofErr w:type="spellEnd"/>
            <w:r w:rsidR="0092215F" w:rsidRPr="00490159">
              <w:rPr>
                <w:rFonts w:cs="Times New Roman"/>
                <w:sz w:val="20"/>
                <w:szCs w:val="20"/>
              </w:rPr>
              <w:t xml:space="preserve">: </w:t>
            </w:r>
            <w:r w:rsidR="00CD5DAC" w:rsidRPr="00490159">
              <w:rPr>
                <w:rFonts w:cs="Times New Roman"/>
                <w:sz w:val="20"/>
                <w:szCs w:val="20"/>
              </w:rPr>
              <w:t xml:space="preserve">Київська обл., Васильківський р-н, смт Глеваха, </w:t>
            </w:r>
          </w:p>
          <w:p w14:paraId="079E5950" w14:textId="76CA227E" w:rsidR="003573F9" w:rsidRPr="00490159" w:rsidRDefault="00CD5DAC" w:rsidP="009A4D2C">
            <w:pPr>
              <w:rPr>
                <w:rFonts w:cs="Times New Roman"/>
                <w:sz w:val="20"/>
                <w:szCs w:val="20"/>
              </w:rPr>
            </w:pPr>
            <w:r w:rsidRPr="00490159">
              <w:rPr>
                <w:rFonts w:cs="Times New Roman"/>
                <w:sz w:val="20"/>
                <w:szCs w:val="20"/>
              </w:rPr>
              <w:t>вул. Вокзальна, 11</w:t>
            </w:r>
            <w:r w:rsidR="0092215F" w:rsidRPr="00490159">
              <w:rPr>
                <w:rFonts w:cs="Times New Roman"/>
                <w:sz w:val="20"/>
                <w:szCs w:val="20"/>
              </w:rPr>
              <w:t>,</w:t>
            </w:r>
            <w:r w:rsidR="0092215F" w:rsidRPr="00490159">
              <w:rPr>
                <w:rStyle w:val="a4"/>
              </w:rPr>
              <w:t xml:space="preserve"> </w:t>
            </w:r>
            <w:r w:rsidR="0092215F" w:rsidRPr="00490159">
              <w:rPr>
                <w:rStyle w:val="a4"/>
                <w:rFonts w:ascii="Times New Roman" w:hAnsi="Times New Roman" w:cs="Times New Roman"/>
                <w:szCs w:val="20"/>
              </w:rPr>
              <w:t xml:space="preserve">що перебуває на балансі </w:t>
            </w:r>
            <w:r w:rsidRPr="00490159">
              <w:rPr>
                <w:rStyle w:val="a4"/>
                <w:rFonts w:ascii="Times New Roman" w:hAnsi="Times New Roman" w:cs="Times New Roman"/>
                <w:szCs w:val="20"/>
              </w:rPr>
              <w:t>Національного наукового центру «Інститут механізації та електрифікації сільського господарства»</w:t>
            </w:r>
            <w:r w:rsidR="0092215F" w:rsidRPr="00490159">
              <w:rPr>
                <w:rFonts w:cs="Times New Roman"/>
                <w:color w:val="000000"/>
                <w:sz w:val="20"/>
                <w:szCs w:val="20"/>
              </w:rPr>
              <w:t>. Термін оре</w:t>
            </w:r>
            <w:r w:rsidR="00FF4A1D" w:rsidRPr="00490159">
              <w:rPr>
                <w:rFonts w:cs="Times New Roman"/>
                <w:color w:val="000000"/>
                <w:sz w:val="20"/>
                <w:szCs w:val="20"/>
              </w:rPr>
              <w:t xml:space="preserve">нди </w:t>
            </w:r>
            <w:r w:rsidR="009A4D2C" w:rsidRPr="00490159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FF4A1D" w:rsidRPr="00490159">
              <w:rPr>
                <w:rFonts w:cs="Times New Roman"/>
                <w:color w:val="000000"/>
                <w:sz w:val="20"/>
                <w:szCs w:val="20"/>
              </w:rPr>
              <w:t xml:space="preserve"> роки</w:t>
            </w:r>
            <w:r w:rsidR="009A4D2C" w:rsidRPr="00490159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="00FF4A1D" w:rsidRPr="0049015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3573F9" w:rsidRPr="00490159">
              <w:rPr>
                <w:rFonts w:cs="Times New Roman"/>
                <w:color w:val="000000"/>
                <w:sz w:val="20"/>
                <w:szCs w:val="20"/>
              </w:rPr>
              <w:t xml:space="preserve">Ключ </w:t>
            </w:r>
            <w:r w:rsidR="009A4D2C" w:rsidRPr="00490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Інст000</w:t>
            </w:r>
            <w:r w:rsidR="00490159" w:rsidRPr="00490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29</w:t>
            </w:r>
          </w:p>
        </w:tc>
      </w:tr>
      <w:tr w:rsidR="0092215F" w:rsidRPr="00490159" w14:paraId="46A99161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8C8FD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36EAB" w14:textId="77777777" w:rsidR="0092215F" w:rsidRPr="00490159" w:rsidRDefault="00CD5DAC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Національний науковий центр «Інститут механізації та електрифікації сільського господарства»</w:t>
            </w:r>
          </w:p>
        </w:tc>
      </w:tr>
      <w:tr w:rsidR="0092215F" w:rsidRPr="00490159" w14:paraId="12AEC6FB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B085B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C8E42" w14:textId="77777777" w:rsidR="001341A2" w:rsidRPr="00490159" w:rsidRDefault="00CD5DAC" w:rsidP="0092215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0159">
              <w:rPr>
                <w:rFonts w:cs="Times New Roman"/>
                <w:color w:val="000000"/>
                <w:sz w:val="20"/>
                <w:szCs w:val="20"/>
              </w:rPr>
              <w:t xml:space="preserve">вул. Вокзальна, 11, </w:t>
            </w:r>
          </w:p>
          <w:p w14:paraId="25AA55EA" w14:textId="77777777" w:rsidR="0092215F" w:rsidRPr="00490159" w:rsidRDefault="00CD5DAC" w:rsidP="0092215F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490159">
              <w:rPr>
                <w:rFonts w:cs="Times New Roman"/>
                <w:color w:val="000000"/>
                <w:sz w:val="20"/>
                <w:szCs w:val="20"/>
              </w:rPr>
              <w:t>смт Глеваха Васильківського р-ну Київської обл</w:t>
            </w:r>
            <w:r w:rsidR="009A4D2C" w:rsidRPr="00490159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490159">
              <w:rPr>
                <w:rFonts w:cs="Times New Roman"/>
                <w:color w:val="000000"/>
                <w:sz w:val="20"/>
                <w:szCs w:val="20"/>
              </w:rPr>
              <w:t>, 08631</w:t>
            </w:r>
            <w:r w:rsidR="0092215F" w:rsidRPr="00490159">
              <w:rPr>
                <w:rFonts w:cs="Times New Roman"/>
                <w:color w:val="000000"/>
                <w:sz w:val="20"/>
                <w:szCs w:val="20"/>
              </w:rPr>
              <w:t>,Україна</w:t>
            </w:r>
          </w:p>
        </w:tc>
      </w:tr>
      <w:tr w:rsidR="0092215F" w:rsidRPr="00490159" w14:paraId="45D65AE0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43DE9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7EC5C" w14:textId="77777777" w:rsidR="00FF4A1D" w:rsidRPr="0049015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Національний науковий центр «Інститут механізації та електрифікації сільського </w:t>
            </w:r>
          </w:p>
          <w:p w14:paraId="1C5361A9" w14:textId="77777777" w:rsidR="0092215F" w:rsidRPr="0049015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господарства»</w:t>
            </w:r>
          </w:p>
        </w:tc>
      </w:tr>
      <w:tr w:rsidR="0092215F" w:rsidRPr="00490159" w14:paraId="71B3F534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90BFB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D7666" w14:textId="77777777" w:rsidR="0092215F" w:rsidRPr="0049015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05496135</w:t>
            </w:r>
          </w:p>
        </w:tc>
      </w:tr>
      <w:tr w:rsidR="0092215F" w:rsidRPr="00490159" w14:paraId="3A4EC306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2B70A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4CAE1" w14:textId="77777777" w:rsidR="001341A2" w:rsidRPr="00490159" w:rsidRDefault="009C4930" w:rsidP="0092215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0159">
              <w:rPr>
                <w:rFonts w:cs="Times New Roman"/>
                <w:color w:val="000000"/>
                <w:sz w:val="20"/>
                <w:szCs w:val="20"/>
              </w:rPr>
              <w:t xml:space="preserve">вул. Вокзальна, 11, </w:t>
            </w:r>
          </w:p>
          <w:p w14:paraId="25A8082F" w14:textId="77777777" w:rsidR="0092215F" w:rsidRPr="00490159" w:rsidRDefault="009C4930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90159">
              <w:rPr>
                <w:rFonts w:cs="Times New Roman"/>
                <w:color w:val="000000"/>
                <w:sz w:val="20"/>
                <w:szCs w:val="20"/>
              </w:rPr>
              <w:t>смт Глеваха Васильківського р-ну Київської обл</w:t>
            </w:r>
            <w:r w:rsidR="009A4D2C" w:rsidRPr="00490159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490159">
              <w:rPr>
                <w:rFonts w:cs="Times New Roman"/>
                <w:color w:val="000000"/>
                <w:sz w:val="20"/>
                <w:szCs w:val="20"/>
              </w:rPr>
              <w:t>, 08631,</w:t>
            </w:r>
            <w:r w:rsidR="00451A3C" w:rsidRPr="0049015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490159">
              <w:rPr>
                <w:rFonts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92215F" w:rsidRPr="00490159" w14:paraId="01636BE2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C8FBF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Залишкова балансова вартість, грн</w:t>
            </w:r>
            <w:r w:rsidR="00451A3C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39908" w14:textId="77777777" w:rsidR="0092215F" w:rsidRPr="00490159" w:rsidRDefault="00451A3C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- </w:t>
            </w:r>
            <w:r w:rsidR="009A4D2C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частина приміщень у </w:t>
            </w:r>
            <w:r w:rsidR="00BD7207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блоці </w:t>
            </w:r>
            <w:proofErr w:type="spellStart"/>
            <w:r w:rsidR="00BD7207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цехів</w:t>
            </w:r>
            <w:proofErr w:type="spellEnd"/>
            <w:r w:rsidR="009A4D2C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  <w:r w:rsidR="00BD7207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–</w:t>
            </w:r>
            <w:r w:rsidR="009A4D2C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  <w:r w:rsidR="00BD7207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6 248 000,00</w:t>
            </w:r>
            <w:r w:rsidR="009A4D2C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;</w:t>
            </w:r>
          </w:p>
          <w:p w14:paraId="3352B17B" w14:textId="77777777" w:rsidR="009A4D2C" w:rsidRPr="00794E9A" w:rsidRDefault="00451A3C" w:rsidP="00451A3C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- </w:t>
            </w:r>
            <w:r w:rsidR="009A4D2C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частина </w:t>
            </w: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відкритого </w:t>
            </w:r>
            <w:r w:rsidR="009A4D2C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майданчика з тверд</w:t>
            </w:r>
            <w:r w:rsidR="00BD7207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им</w:t>
            </w:r>
            <w:r w:rsidR="009A4D2C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покриття</w:t>
            </w:r>
            <w:r w:rsidR="00BD7207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м</w:t>
            </w:r>
            <w:r w:rsidR="009A4D2C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– </w:t>
            </w:r>
            <w:r w:rsidR="00BD7207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546 000,00</w:t>
            </w: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;</w:t>
            </w:r>
          </w:p>
          <w:p w14:paraId="066F92E7" w14:textId="77777777" w:rsidR="00451A3C" w:rsidRPr="00490159" w:rsidRDefault="00451A3C" w:rsidP="002C3D0B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- </w:t>
            </w:r>
            <w:r w:rsidR="00BD7207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частина відкритого майданчика без твердого покриття</w:t>
            </w: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– </w:t>
            </w:r>
            <w:r w:rsidR="00BD7207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4 048 000,00</w:t>
            </w:r>
          </w:p>
        </w:tc>
      </w:tr>
      <w:tr w:rsidR="0092215F" w:rsidRPr="00490159" w14:paraId="6258E4A5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E66E9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Ринкова вартість, грн</w:t>
            </w:r>
            <w:r w:rsidR="00451A3C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EE01F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2215F" w:rsidRPr="00490159" w14:paraId="3EB3161D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8708D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28633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92215F" w:rsidRPr="00490159" w14:paraId="31FF4981" w14:textId="77777777" w:rsidTr="000037D0">
        <w:trPr>
          <w:trHeight w:val="1050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642A3A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4FA9D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2215F" w:rsidRPr="00490159" w14:paraId="3CE30929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3A5FE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3C9BA" w14:textId="77777777" w:rsidR="00451A3C" w:rsidRPr="00490159" w:rsidRDefault="009C4930" w:rsidP="0092215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0159">
              <w:rPr>
                <w:rFonts w:cs="Times New Roman"/>
                <w:color w:val="000000"/>
                <w:sz w:val="20"/>
                <w:szCs w:val="20"/>
              </w:rPr>
              <w:t xml:space="preserve">вул. Вокзальна, 11, </w:t>
            </w:r>
          </w:p>
          <w:p w14:paraId="028ED737" w14:textId="77777777" w:rsidR="0092215F" w:rsidRPr="0049015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cs="Times New Roman"/>
                <w:color w:val="000000"/>
                <w:sz w:val="20"/>
                <w:szCs w:val="20"/>
              </w:rPr>
              <w:t>смт Глеваха Васильківського р-ну Київської обл</w:t>
            </w:r>
            <w:r w:rsidR="009A4D2C" w:rsidRPr="00490159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490159">
              <w:rPr>
                <w:rFonts w:cs="Times New Roman"/>
                <w:color w:val="000000"/>
                <w:sz w:val="20"/>
                <w:szCs w:val="20"/>
              </w:rPr>
              <w:t>, 08631,Україна</w:t>
            </w:r>
          </w:p>
        </w:tc>
      </w:tr>
      <w:tr w:rsidR="0092215F" w:rsidRPr="00490159" w14:paraId="0BA0856B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33BDE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Загальна площа об’єкта, </w:t>
            </w:r>
            <w:proofErr w:type="spellStart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 м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C998D" w14:textId="77777777" w:rsidR="0092215F" w:rsidRPr="00490159" w:rsidRDefault="003C711E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блок </w:t>
            </w:r>
            <w:proofErr w:type="spellStart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цехів</w:t>
            </w:r>
            <w:proofErr w:type="spellEnd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AD61A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– 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5335,90</w:t>
            </w:r>
            <w:r w:rsidR="00AD61A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;</w:t>
            </w:r>
          </w:p>
          <w:p w14:paraId="1B1B9143" w14:textId="77777777" w:rsidR="00451A3C" w:rsidRPr="00490159" w:rsidRDefault="003C711E" w:rsidP="003C711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відкриті</w:t>
            </w:r>
            <w:r w:rsidR="00AD61A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майданчик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и</w:t>
            </w:r>
            <w:r w:rsidR="00AD61A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– 15200,00</w:t>
            </w:r>
          </w:p>
        </w:tc>
      </w:tr>
      <w:tr w:rsidR="0092215F" w:rsidRPr="00490159" w14:paraId="34F04252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B17B0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Корисна площа об’єкта, </w:t>
            </w:r>
            <w:proofErr w:type="spellStart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 м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88F29" w14:textId="77777777" w:rsidR="0092215F" w:rsidRPr="00490159" w:rsidRDefault="003C711E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блок </w:t>
            </w:r>
            <w:proofErr w:type="spellStart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цехів</w:t>
            </w:r>
            <w:proofErr w:type="spellEnd"/>
            <w:r w:rsidR="00AD61A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– 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5335,90</w:t>
            </w:r>
            <w:r w:rsidR="00AD61A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;</w:t>
            </w:r>
          </w:p>
          <w:p w14:paraId="4CD8D1AA" w14:textId="77777777" w:rsidR="003B32D3" w:rsidRPr="00490159" w:rsidRDefault="003C711E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відкриті</w:t>
            </w:r>
            <w:r w:rsidR="00AD61A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майданчик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и</w:t>
            </w:r>
            <w:r w:rsidR="00AD61A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– 15200,00 </w:t>
            </w:r>
            <w:proofErr w:type="spellStart"/>
            <w:r w:rsidR="00AD61A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м.кв</w:t>
            </w:r>
            <w:proofErr w:type="spellEnd"/>
            <w:r w:rsidR="00AD61A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92215F" w:rsidRPr="00490159" w14:paraId="4AEF55BF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D1C49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2BD7D" w14:textId="77777777" w:rsidR="00101A6A" w:rsidRPr="00490159" w:rsidRDefault="003C711E" w:rsidP="003B32D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- </w:t>
            </w:r>
            <w:r w:rsidR="00101A6A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частина приміщень у 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блоці </w:t>
            </w:r>
            <w:proofErr w:type="spellStart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цехів</w:t>
            </w:r>
            <w:proofErr w:type="spellEnd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загальною площею 1136,00</w:t>
            </w:r>
            <w:r w:rsidR="00101A6A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101A6A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кв.м</w:t>
            </w:r>
            <w:proofErr w:type="spellEnd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r w:rsidR="0092215F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;</w:t>
            </w:r>
          </w:p>
          <w:p w14:paraId="474C3B41" w14:textId="77777777" w:rsidR="0092215F" w:rsidRPr="00490159" w:rsidRDefault="003C711E" w:rsidP="003B32D3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- </w:t>
            </w:r>
            <w:r w:rsidR="00AD61A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відкритого майданчика з тверд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им</w:t>
            </w:r>
            <w:r w:rsidR="00AD61A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покриття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  <w:r w:rsidR="00101A6A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загальною площею 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546,</w:t>
            </w:r>
            <w:r w:rsidR="00FE767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0 </w:t>
            </w:r>
            <w:proofErr w:type="spellStart"/>
            <w:r w:rsidR="00FE767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="00FE767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 м</w:t>
            </w:r>
            <w:r w:rsidR="00101A6A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– частина автодоріг і майданчиків;</w:t>
            </w:r>
          </w:p>
          <w:p w14:paraId="528A027B" w14:textId="77777777" w:rsidR="00FE7679" w:rsidRPr="00490159" w:rsidRDefault="003C711E" w:rsidP="003C711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- частина відкритого майданчика без твердого покриття</w:t>
            </w:r>
            <w:r w:rsidR="00FE767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загальною площею 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4048,0 </w:t>
            </w:r>
            <w:proofErr w:type="spellStart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кв.м</w:t>
            </w:r>
            <w:proofErr w:type="spellEnd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– частина автодоріг і майданчиків.</w:t>
            </w:r>
          </w:p>
          <w:p w14:paraId="138E08AB" w14:textId="77777777" w:rsidR="001F6967" w:rsidRPr="00490159" w:rsidRDefault="001F6967" w:rsidP="003C711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Загальна площа майна, що здається в оренду – 5730,0 </w:t>
            </w:r>
            <w:proofErr w:type="spellStart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кв.м</w:t>
            </w:r>
            <w:proofErr w:type="spellEnd"/>
          </w:p>
        </w:tc>
      </w:tr>
      <w:tr w:rsidR="0092215F" w:rsidRPr="00490159" w14:paraId="7D8D445A" w14:textId="77777777" w:rsidTr="000037D0">
        <w:trPr>
          <w:trHeight w:val="990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B9611E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Поверховий план об’єкта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CFA8D9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92215F" w:rsidRPr="00490159" w14:paraId="0B632019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42164" w14:textId="77777777" w:rsidR="0092215F" w:rsidRPr="0049015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1B3FE" w14:textId="77777777" w:rsidR="0092215F" w:rsidRPr="00490159" w:rsidRDefault="0092215F" w:rsidP="0092215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2215F" w:rsidRPr="00490159" w14:paraId="62D6DC3B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30644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45ED4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потребує поточного ремонту</w:t>
            </w:r>
          </w:p>
        </w:tc>
      </w:tr>
      <w:tr w:rsidR="0092215F" w:rsidRPr="00490159" w14:paraId="17ACEB25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BAEE1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0D9B7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92215F" w:rsidRPr="00490159" w14:paraId="1DCF61D3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59D9E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C9290" w14:textId="77777777" w:rsidR="0092215F" w:rsidRPr="00490159" w:rsidRDefault="00FC0B6E" w:rsidP="00AD61A9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</w:t>
            </w:r>
            <w:r w:rsidR="0092215F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ак</w:t>
            </w:r>
            <w:r w:rsidR="00AD61A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(додатково компенсується орендарем)</w:t>
            </w:r>
          </w:p>
        </w:tc>
      </w:tr>
      <w:tr w:rsidR="0092215F" w:rsidRPr="00490159" w14:paraId="0668AFF1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8A861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06B13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  <w:r w:rsidR="00FF4A1D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-15</w:t>
            </w:r>
          </w:p>
        </w:tc>
      </w:tr>
      <w:tr w:rsidR="0092215F" w:rsidRPr="00490159" w14:paraId="3D5D99F5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263B9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8B2BC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92215F" w:rsidRPr="00490159" w14:paraId="3B394844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826AB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03FB8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92215F" w:rsidRPr="00490159" w14:paraId="5F467DF1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62B0D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E5D19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92215F" w:rsidRPr="00490159" w14:paraId="460EB10B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A7C0A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55E47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490159" w14:paraId="692F120F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AD860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BAB81" w14:textId="77777777" w:rsidR="0092215F" w:rsidRPr="0049015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490159" w14:paraId="1498CAEE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4AB02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13DB2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490159" w14:paraId="5EF98539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DCA47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5DA03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490159" w14:paraId="776AF747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8B745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BAA8F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490159" w14:paraId="25C9BA56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D5BFF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F338E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490159" w14:paraId="7D5561F8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E3083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7DF11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490159" w14:paraId="0B29F59F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C5C48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D134B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490159" w14:paraId="5BF2FB1E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09247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88C80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490159" w14:paraId="04EA50D6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8880A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7AED0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490159" w14:paraId="664F769A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BCB1B" w14:textId="77777777" w:rsidR="0092215F" w:rsidRPr="00490159" w:rsidRDefault="00FC0B6E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Пост охорони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B887A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2215F" w:rsidRPr="00490159" w14:paraId="68A8317A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5DA53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5569A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490159" w14:paraId="40FDEDF0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F05DE" w14:textId="77777777" w:rsidR="0092215F" w:rsidRPr="0049015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0C261" w14:textId="77777777" w:rsidR="0092215F" w:rsidRPr="00490159" w:rsidRDefault="0092215F" w:rsidP="0092215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2215F" w:rsidRPr="00490159" w14:paraId="7D68AA9C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DDCD6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DF6FB" w14:textId="77777777" w:rsidR="0092215F" w:rsidRPr="00490159" w:rsidRDefault="00AD61A9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 роки</w:t>
            </w:r>
          </w:p>
        </w:tc>
      </w:tr>
      <w:tr w:rsidR="0092215F" w:rsidRPr="00490159" w14:paraId="0836CED5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66220D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аукціону, грн</w:t>
            </w:r>
            <w:r w:rsidR="00AD61A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51E78" w14:textId="77777777" w:rsidR="00C03237" w:rsidRPr="00490159" w:rsidRDefault="003C711E" w:rsidP="00C0323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- </w:t>
            </w:r>
            <w:r w:rsidR="00AD61A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примі</w:t>
            </w:r>
            <w:r w:rsidR="00C03237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щень у 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блоці </w:t>
            </w:r>
            <w:proofErr w:type="spellStart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цехів</w:t>
            </w:r>
            <w:proofErr w:type="spellEnd"/>
            <w:r w:rsidR="00C03237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FE767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загальною площею 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1136,00</w:t>
            </w:r>
            <w:r w:rsidR="00FE767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FE767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кв.м</w:t>
            </w:r>
            <w:proofErr w:type="spellEnd"/>
            <w:r w:rsidR="00FE767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r w:rsidR="00C03237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– 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62 480,00</w:t>
            </w:r>
            <w:r w:rsidR="00C03237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;</w:t>
            </w:r>
          </w:p>
          <w:p w14:paraId="40DEC1F4" w14:textId="77777777" w:rsidR="00C03237" w:rsidRPr="00490159" w:rsidRDefault="003C711E" w:rsidP="00C0323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- </w:t>
            </w:r>
            <w:r w:rsidR="00C03237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відкритого майданчика з тверд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им</w:t>
            </w:r>
            <w:r w:rsidR="003B32D3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покриття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  <w:r w:rsidR="00C03237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FE767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загальною площею 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546,00</w:t>
            </w:r>
            <w:r w:rsidR="00FE767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FE767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кв.м</w:t>
            </w:r>
            <w:proofErr w:type="spellEnd"/>
            <w:r w:rsidR="00FE767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C03237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– 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5460</w:t>
            </w:r>
            <w:r w:rsidR="003B32D3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;</w:t>
            </w:r>
          </w:p>
          <w:p w14:paraId="3CC377E5" w14:textId="77777777" w:rsidR="003C711E" w:rsidRPr="00490159" w:rsidRDefault="003C711E" w:rsidP="00C0323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- частина відкритого майданчика без твердого покриття загальною площею 4048,00 </w:t>
            </w:r>
            <w:proofErr w:type="spellStart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кв.м</w:t>
            </w:r>
            <w:proofErr w:type="spellEnd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ED0CD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–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ED0CD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40480,00</w:t>
            </w:r>
          </w:p>
          <w:p w14:paraId="31DB6642" w14:textId="77777777" w:rsidR="00EC0F81" w:rsidRPr="00490159" w:rsidRDefault="00FE7679" w:rsidP="00C0323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Стартова орендна плата за лот – </w:t>
            </w:r>
            <w:r w:rsidR="00ED0CD9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108420,00.</w:t>
            </w:r>
          </w:p>
          <w:p w14:paraId="48EEB231" w14:textId="77777777" w:rsidR="0092215F" w:rsidRPr="00490159" w:rsidRDefault="00C03237" w:rsidP="00C0323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</w:t>
            </w:r>
            <w:r w:rsidR="0048765A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місяць.</w:t>
            </w:r>
            <w:r w:rsidR="00C6413D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остаточну ціну аукціону буде нараховане ПДВ.</w:t>
            </w:r>
            <w:r w:rsidR="00FC0B6E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До вартості орендної плати не входить компенсація комунальних, комунальні послуги компенсуються орендарем окремо по виставленим рахункам від орендодавця.</w:t>
            </w:r>
          </w:p>
        </w:tc>
      </w:tr>
      <w:tr w:rsidR="0092215F" w:rsidRPr="00490159" w14:paraId="5F0A1321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96A5E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25956" w14:textId="77777777" w:rsidR="0092215F" w:rsidRPr="00490159" w:rsidRDefault="003573F9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майно першого типу</w:t>
            </w:r>
          </w:p>
        </w:tc>
      </w:tr>
      <w:tr w:rsidR="0092215F" w:rsidRPr="00490159" w14:paraId="20FB60DA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8CBF7E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B0AD5" w14:textId="77777777" w:rsidR="0092215F" w:rsidRPr="00490159" w:rsidRDefault="0092215F" w:rsidP="00F63C3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групи, 11 - Нічні клуби. Ресторани з нічним режимом роботи (після 22 год). Сауни, лазні. Організація концертів та іншої видовищно-розважальної діяльності. Готелі, </w:t>
            </w:r>
            <w:proofErr w:type="spellStart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хостели</w:t>
            </w:r>
            <w:proofErr w:type="spellEnd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турбази, мотелі, кемпінги, літні будиночки. Комп’ютерні клуби та Інтернет-кафе, 15 - Ритуальні послуги. Громадські вбиральні. Збір і</w:t>
            </w:r>
            <w:r w:rsidR="00F63C32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сортування вторинної сировини.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Розміщення транспортних підприємств з перевезення пасажирів і вантажів. Станції технічного обслуговування автомобілів </w:t>
            </w:r>
          </w:p>
        </w:tc>
      </w:tr>
      <w:tr w:rsidR="0092215F" w:rsidRPr="00490159" w14:paraId="43B3990D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F4C02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3C723" w14:textId="77777777" w:rsidR="00FC0B6E" w:rsidRPr="00490159" w:rsidRDefault="00FC0B6E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Так.</w:t>
            </w:r>
          </w:p>
          <w:p w14:paraId="7E8B5E75" w14:textId="77777777" w:rsidR="0092215F" w:rsidRPr="00490159" w:rsidRDefault="00FC0B6E" w:rsidP="00FC0B6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Застрахув</w:t>
            </w:r>
            <w:r w:rsidR="003B32D3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ати приміщення що орендується.</w:t>
            </w:r>
          </w:p>
        </w:tc>
      </w:tr>
      <w:tr w:rsidR="0092215F" w:rsidRPr="00490159" w14:paraId="04D7C55A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36CF3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78F55" w14:textId="77777777" w:rsidR="00717318" w:rsidRPr="00490159" w:rsidRDefault="00C31E65" w:rsidP="00717318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</w:t>
            </w:r>
            <w:r w:rsidR="0092215F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і, оскільки об'єкт оренди не підлягає приватизації</w:t>
            </w:r>
            <w:r w:rsidR="00717318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або Договір оренди буде укладений відповідно до вимог Примірного</w:t>
            </w:r>
          </w:p>
          <w:p w14:paraId="27C25652" w14:textId="77777777" w:rsidR="00717318" w:rsidRPr="00490159" w:rsidRDefault="00717318" w:rsidP="00717318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договору оренди державного майна, затвердженого постановою КМУ</w:t>
            </w:r>
          </w:p>
          <w:p w14:paraId="6576423B" w14:textId="77777777" w:rsidR="0092215F" w:rsidRPr="00490159" w:rsidRDefault="00717318" w:rsidP="00717318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12.08.2020 р. № 820, без викупу і передачі майна в суборенду.</w:t>
            </w:r>
          </w:p>
        </w:tc>
      </w:tr>
      <w:tr w:rsidR="0092215F" w:rsidRPr="00490159" w14:paraId="5AA14A87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AC118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EA6C9" w14:textId="77777777" w:rsidR="0092215F" w:rsidRPr="00490159" w:rsidRDefault="0092215F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92215F" w:rsidRPr="00490159" w14:paraId="739ED7FB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51141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3E040" w14:textId="1C7D45AE" w:rsidR="0092215F" w:rsidRPr="00490159" w:rsidRDefault="009F1E97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(045-71) 3-11-00</w:t>
            </w:r>
            <w:bookmarkStart w:id="0" w:name="_GoBack"/>
            <w:bookmarkEnd w:id="0"/>
          </w:p>
        </w:tc>
      </w:tr>
      <w:tr w:rsidR="0092215F" w:rsidRPr="00490159" w14:paraId="4508DB72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0A521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BC105" w14:textId="77777777" w:rsidR="0092215F" w:rsidRPr="00490159" w:rsidRDefault="0092215F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2215F" w:rsidRPr="00490159" w14:paraId="1A6EB460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77D5A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0D6D7" w14:textId="77777777" w:rsidR="0092215F" w:rsidRPr="00490159" w:rsidRDefault="009F1E97" w:rsidP="00AF79E0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hyperlink r:id="rId4" w:history="1">
              <w:r w:rsidR="00AB3C9E" w:rsidRPr="0049015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nnc-imesh@ukr.net</w:t>
              </w:r>
            </w:hyperlink>
            <w:r w:rsidR="00AB3C9E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; </w:t>
            </w:r>
            <w:hyperlink r:id="rId5" w:history="1">
              <w:r w:rsidR="00476B8D" w:rsidRPr="0049015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buh_imesg@ukr.net</w:t>
              </w:r>
            </w:hyperlink>
            <w:r w:rsidR="00476B8D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92215F" w:rsidRPr="00490159" w14:paraId="6B8F10B5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A782E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1441E" w14:textId="77777777" w:rsidR="0092215F" w:rsidRPr="00490159" w:rsidRDefault="0092215F" w:rsidP="00717318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2215F" w:rsidRPr="00490159" w14:paraId="3C829DE9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0D97A" w14:textId="77777777" w:rsidR="0092215F" w:rsidRPr="0049015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4028C" w14:textId="77777777" w:rsidR="0092215F" w:rsidRPr="00490159" w:rsidRDefault="0092215F" w:rsidP="0092215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2215F" w:rsidRPr="00490159" w14:paraId="7FCF4A2F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0C098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975F7" w14:textId="2993DA36" w:rsidR="0092215F" w:rsidRPr="00490159" w:rsidRDefault="00B7794B" w:rsidP="00C0323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Дата аукціону </w:t>
            </w:r>
            <w:r w:rsidR="00794E9A">
              <w:rPr>
                <w:rFonts w:eastAsia="Times New Roman" w:cs="Times New Roman"/>
                <w:sz w:val="20"/>
                <w:szCs w:val="20"/>
                <w:lang w:val="ru-RU" w:eastAsia="uk-UA"/>
              </w:rPr>
              <w:t>05.05</w:t>
            </w:r>
            <w:r w:rsidR="00490159" w:rsidRPr="00794E9A">
              <w:rPr>
                <w:rFonts w:eastAsia="Times New Roman" w:cs="Times New Roman"/>
                <w:sz w:val="20"/>
                <w:szCs w:val="20"/>
                <w:lang w:val="ru-RU" w:eastAsia="uk-UA"/>
              </w:rPr>
              <w:t>.2021</w:t>
            </w:r>
            <w:r w:rsidR="0092215F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92215F" w:rsidRPr="00490159" w14:paraId="2062AD0B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DFBE3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51566" w14:textId="77777777" w:rsidR="0092215F" w:rsidRPr="00490159" w:rsidRDefault="0092215F" w:rsidP="001125E1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аукціон на </w:t>
            </w:r>
            <w:r w:rsidR="001125E1"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укладення</w:t>
            </w: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договору оренди</w:t>
            </w:r>
          </w:p>
        </w:tc>
      </w:tr>
      <w:tr w:rsidR="0092215F" w:rsidRPr="00490159" w14:paraId="64F9693A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954150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74405" w14:textId="643D5658" w:rsidR="0092215F" w:rsidRPr="00490159" w:rsidRDefault="0092215F" w:rsidP="00C0323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Кінцевий строк под</w:t>
            </w:r>
            <w:r w:rsidR="00794E9A">
              <w:rPr>
                <w:rFonts w:eastAsia="Times New Roman" w:cs="Times New Roman"/>
                <w:sz w:val="20"/>
                <w:szCs w:val="20"/>
                <w:lang w:eastAsia="uk-UA"/>
              </w:rPr>
              <w:t>ання заяви на участь в аукціоні 01</w:t>
            </w:r>
            <w:r w:rsidR="00794E9A">
              <w:rPr>
                <w:rFonts w:eastAsia="Times New Roman" w:cs="Times New Roman"/>
                <w:sz w:val="20"/>
                <w:szCs w:val="20"/>
                <w:lang w:val="ru-RU" w:eastAsia="uk-UA"/>
              </w:rPr>
              <w:t>.05</w:t>
            </w:r>
            <w:r w:rsidR="00490159" w:rsidRPr="00490159">
              <w:rPr>
                <w:rFonts w:eastAsia="Times New Roman" w:cs="Times New Roman"/>
                <w:sz w:val="20"/>
                <w:szCs w:val="20"/>
                <w:lang w:val="ru-RU" w:eastAsia="uk-UA"/>
              </w:rPr>
              <w:t>.</w:t>
            </w:r>
            <w:r w:rsidR="00794E9A">
              <w:rPr>
                <w:rFonts w:eastAsia="Times New Roman" w:cs="Times New Roman"/>
                <w:sz w:val="20"/>
                <w:szCs w:val="20"/>
                <w:lang w:val="ru-RU" w:eastAsia="uk-UA"/>
              </w:rPr>
              <w:t>20</w:t>
            </w:r>
            <w:r w:rsidR="00490159" w:rsidRPr="00490159">
              <w:rPr>
                <w:rFonts w:eastAsia="Times New Roman" w:cs="Times New Roman"/>
                <w:sz w:val="20"/>
                <w:szCs w:val="20"/>
                <w:lang w:val="ru-RU" w:eastAsia="uk-UA"/>
              </w:rPr>
              <w:t>21</w:t>
            </w: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92215F" w:rsidRPr="00490159" w14:paraId="77013E79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6C82F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  <w:r w:rsidR="00AB3C9E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D34D9" w14:textId="78B40D2B" w:rsidR="003B32D3" w:rsidRPr="00B57A71" w:rsidRDefault="00B57A71" w:rsidP="00ED0CD9">
            <w:pPr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uk-UA"/>
              </w:rPr>
              <w:t>1084,20</w:t>
            </w:r>
          </w:p>
        </w:tc>
      </w:tr>
      <w:tr w:rsidR="0092215F" w:rsidRPr="00490159" w14:paraId="70621D58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69967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чинного орендаря ), грн</w:t>
            </w:r>
            <w:r w:rsidR="00AB3C9E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7B832" w14:textId="77777777" w:rsidR="0092215F" w:rsidRPr="00490159" w:rsidRDefault="001F6967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54210,00</w:t>
            </w:r>
          </w:p>
        </w:tc>
      </w:tr>
      <w:tr w:rsidR="0092215F" w:rsidRPr="00490159" w14:paraId="2534D114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CA83C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інших учасників аукціону), грн</w:t>
            </w:r>
            <w:r w:rsidR="00AB3C9E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EFBF6" w14:textId="77777777" w:rsidR="0092215F" w:rsidRPr="00490159" w:rsidRDefault="00ED0CD9" w:rsidP="00ED0CD9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650520,00</w:t>
            </w:r>
          </w:p>
        </w:tc>
      </w:tr>
      <w:tr w:rsidR="0092215F" w:rsidRPr="00490159" w14:paraId="7BADC987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5B565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реєстраційного внеску, грн</w:t>
            </w:r>
            <w:r w:rsidR="00AB3C9E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CC851" w14:textId="622B0ACC" w:rsidR="0092215F" w:rsidRPr="00490159" w:rsidRDefault="00794E9A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600,00</w:t>
            </w:r>
          </w:p>
        </w:tc>
      </w:tr>
      <w:tr w:rsidR="0092215F" w:rsidRPr="00490159" w14:paraId="7B4B81D3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934DB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Посилання на сторінку офіційного веб-</w:t>
            </w:r>
            <w:proofErr w:type="spellStart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сайта</w:t>
            </w:r>
            <w:proofErr w:type="spellEnd"/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сплати потенційними орендарями гарантійних та реєстраційних внесків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D964B" w14:textId="77777777" w:rsidR="0092215F" w:rsidRPr="00490159" w:rsidRDefault="009F1E97" w:rsidP="0092215F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="0092215F" w:rsidRPr="00490159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92215F" w:rsidRPr="00490159" w14:paraId="4368479F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C07FE7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78B52" w14:textId="77777777" w:rsidR="00B7794B" w:rsidRPr="00490159" w:rsidRDefault="00B7794B" w:rsidP="00B7794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01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національній валюті:</w:t>
            </w:r>
          </w:p>
          <w:p w14:paraId="64A8B0CA" w14:textId="77777777" w:rsidR="0092215F" w:rsidRPr="00490159" w:rsidRDefault="00B7794B" w:rsidP="00746C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01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Отримувач: </w:t>
            </w:r>
            <w:r w:rsidR="00746CB5" w:rsidRPr="004901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ДКСУ, м. Київ</w:t>
            </w:r>
          </w:p>
          <w:p w14:paraId="369313B8" w14:textId="77777777" w:rsidR="00746CB5" w:rsidRPr="00490159" w:rsidRDefault="00746CB5" w:rsidP="00AB3C9E">
            <w:pPr>
              <w:pStyle w:val="a5"/>
              <w:rPr>
                <w:rFonts w:eastAsia="Times New Roman" w:cs="Times New Roman"/>
                <w:color w:val="FF0000"/>
                <w:sz w:val="20"/>
                <w:szCs w:val="20"/>
                <w:lang w:val="uk-UA" w:eastAsia="uk-UA"/>
              </w:rPr>
            </w:pPr>
            <w:r w:rsidRPr="004901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UA</w:t>
            </w:r>
            <w:r w:rsidR="00AB3C9E" w:rsidRPr="004901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798201720313281001203016632</w:t>
            </w:r>
          </w:p>
        </w:tc>
      </w:tr>
      <w:tr w:rsidR="0092215F" w:rsidRPr="00490159" w14:paraId="42D6255F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06712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EDBE1" w14:textId="77777777" w:rsidR="0092215F" w:rsidRPr="00490159" w:rsidRDefault="009F1E97" w:rsidP="0092215F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="0092215F" w:rsidRPr="00490159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92215F" w:rsidRPr="00490159" w14:paraId="0ADF8B79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4972A" w14:textId="77777777" w:rsidR="0092215F" w:rsidRPr="00490159" w:rsidRDefault="00C03237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Прое</w:t>
            </w:r>
            <w:r w:rsidR="0092215F"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кт договору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7DE15" w14:textId="77777777" w:rsidR="0092215F" w:rsidRPr="00490159" w:rsidRDefault="0092215F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92215F" w:rsidRPr="00490159" w14:paraId="4F488095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64B24" w14:textId="77777777" w:rsidR="0092215F" w:rsidRPr="0049015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D8808" w14:textId="77777777" w:rsidR="0092215F" w:rsidRPr="00490159" w:rsidRDefault="0092215F" w:rsidP="0092215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2215F" w:rsidRPr="00490159" w14:paraId="34533B5E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9C0A0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F948F" w14:textId="77777777" w:rsidR="0092215F" w:rsidRPr="00490159" w:rsidRDefault="003573F9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92215F" w:rsidRPr="00490159" w14:paraId="77580B3B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96414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158CB" w14:textId="77777777" w:rsidR="0092215F" w:rsidRPr="00490159" w:rsidRDefault="0092215F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2215F" w:rsidRPr="00490159" w14:paraId="3F0DC35B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3CC13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8BAAA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92215F" w:rsidRPr="00490159" w14:paraId="72B212EC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C4B5C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3BEF9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балансоутримувач сплачує податок на землю</w:t>
            </w:r>
          </w:p>
        </w:tc>
      </w:tr>
      <w:tr w:rsidR="0092215F" w:rsidRPr="00490159" w14:paraId="1B327D58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CD7FA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466F8F" w14:textId="77777777" w:rsidR="0092215F" w:rsidRPr="00490159" w:rsidRDefault="00FC0B6E" w:rsidP="00FC0B6E">
            <w:pPr>
              <w:rPr>
                <w:rFonts w:eastAsia="Times New Roman" w:cs="Times New Roman"/>
                <w:color w:val="1155CC"/>
                <w:sz w:val="20"/>
                <w:szCs w:val="20"/>
                <w:highlight w:val="red"/>
                <w:u w:val="single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Так, </w:t>
            </w:r>
            <w:hyperlink r:id="rId8" w:tgtFrame="_blank" w:history="1">
              <w:r w:rsidRPr="00490159">
                <w:rPr>
                  <w:rFonts w:eastAsia="Times New Roman" w:cs="Times New Roman"/>
                  <w:color w:val="000000"/>
                  <w:sz w:val="20"/>
                  <w:szCs w:val="20"/>
                  <w:lang w:eastAsia="uk-UA"/>
                </w:rPr>
                <w:t>земельний</w:t>
              </w:r>
            </w:hyperlink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податок</w:t>
            </w:r>
          </w:p>
        </w:tc>
      </w:tr>
      <w:tr w:rsidR="0092215F" w:rsidRPr="00490159" w14:paraId="636EF1DB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F5BE0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4A872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92215F" w:rsidRPr="00490159" w14:paraId="0F30E3C9" w14:textId="77777777" w:rsidTr="000037D0">
        <w:trPr>
          <w:gridAfter w:val="1"/>
          <w:wAfter w:w="4669" w:type="dxa"/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15399" w14:textId="77777777" w:rsidR="0092215F" w:rsidRPr="00490159" w:rsidRDefault="0092215F" w:rsidP="0092215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92215F" w:rsidRPr="00490159" w14:paraId="1B15C6EB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F4945" w14:textId="77777777" w:rsidR="0092215F" w:rsidRPr="00490159" w:rsidRDefault="009F1E97" w:rsidP="0092215F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9" w:anchor="gid=718665470" w:history="1">
              <w:r w:rsidR="003573F9" w:rsidRPr="00490159">
                <w:rPr>
                  <w:rStyle w:val="a3"/>
                  <w:rFonts w:eastAsia="Times New Roman" w:cs="Times New Roman"/>
                  <w:sz w:val="20"/>
                  <w:highlight w:val="red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ABF33" w14:textId="2C23992F" w:rsidR="0092215F" w:rsidRPr="00490159" w:rsidRDefault="0092215F" w:rsidP="00D45E0E">
            <w:pPr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  <w:r w:rsidRPr="0049015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ключ об'єкта </w:t>
            </w:r>
            <w:r w:rsidR="00C03237" w:rsidRPr="00490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Інст000</w:t>
            </w:r>
            <w:r w:rsidR="00490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uk-UA"/>
              </w:rPr>
              <w:t>29</w:t>
            </w:r>
          </w:p>
        </w:tc>
      </w:tr>
      <w:tr w:rsidR="0092215F" w:rsidRPr="00490159" w14:paraId="2D6EE247" w14:textId="77777777" w:rsidTr="000037D0">
        <w:trPr>
          <w:gridAfter w:val="1"/>
          <w:wAfter w:w="4669" w:type="dxa"/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CF279" w14:textId="77777777" w:rsidR="0092215F" w:rsidRPr="00490159" w:rsidRDefault="0092215F" w:rsidP="0092215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92215F" w:rsidRPr="00490159" w14:paraId="39005F0E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B7ADD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52530" w14:textId="77777777" w:rsidR="0092215F" w:rsidRPr="00490159" w:rsidRDefault="00ED0CD9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«Світ агротехніки»</w:t>
            </w:r>
          </w:p>
        </w:tc>
      </w:tr>
      <w:tr w:rsidR="0092215F" w:rsidRPr="00490159" w14:paraId="1089F1E9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B73E6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A3A44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92215F" w:rsidRPr="00490159" w14:paraId="451F1EF1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23BC2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B3939" w14:textId="77777777" w:rsidR="0092215F" w:rsidRPr="00490159" w:rsidRDefault="00896E7E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05.04.2021</w:t>
            </w:r>
          </w:p>
        </w:tc>
      </w:tr>
      <w:tr w:rsidR="0092215F" w:rsidRPr="00490159" w14:paraId="0798A9F0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2D838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DBFEC" w14:textId="77777777" w:rsidR="0092215F" w:rsidRPr="00490159" w:rsidRDefault="0006768C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92215F" w:rsidRPr="00490159" w14:paraId="2430520A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BC1091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49015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43CE0" w14:textId="77777777" w:rsidR="0092215F" w:rsidRPr="00490159" w:rsidRDefault="00ED0CD9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92215F" w:rsidRPr="00490159" w14:paraId="5794DA27" w14:textId="77777777" w:rsidTr="000037D0">
        <w:trPr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81C6D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46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776C9" w14:textId="77777777" w:rsidR="0092215F" w:rsidRPr="0049015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49015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92215F" w:rsidRPr="00490159" w14:paraId="0A8FDECD" w14:textId="77777777" w:rsidTr="000037D0">
        <w:trPr>
          <w:gridAfter w:val="1"/>
          <w:wAfter w:w="4669" w:type="dxa"/>
          <w:trHeight w:val="315"/>
        </w:trPr>
        <w:tc>
          <w:tcPr>
            <w:tcW w:w="4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201E8" w14:textId="77777777" w:rsidR="0092215F" w:rsidRPr="00490159" w:rsidRDefault="0092215F" w:rsidP="0092215F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49015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lastRenderedPageBreak/>
              <w:t>Умовні скорочення:</w:t>
            </w:r>
            <w:r w:rsidRPr="0049015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49015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49015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14:paraId="4C6316D1" w14:textId="77777777" w:rsidR="000037D0" w:rsidRPr="00490159" w:rsidRDefault="000037D0"/>
    <w:p w14:paraId="106F408C" w14:textId="77777777" w:rsidR="000037D0" w:rsidRPr="00490159" w:rsidRDefault="000037D0" w:rsidP="000037D0"/>
    <w:p w14:paraId="170BEE90" w14:textId="77777777" w:rsidR="000037D0" w:rsidRPr="00490159" w:rsidRDefault="000037D0" w:rsidP="000037D0"/>
    <w:p w14:paraId="3FCBCA87" w14:textId="77777777" w:rsidR="000037D0" w:rsidRPr="00490159" w:rsidRDefault="000037D0" w:rsidP="000037D0"/>
    <w:p w14:paraId="08256A13" w14:textId="77777777" w:rsidR="000037D0" w:rsidRPr="00490159" w:rsidRDefault="000037D0" w:rsidP="000037D0"/>
    <w:p w14:paraId="1E6303E4" w14:textId="77777777" w:rsidR="000037D0" w:rsidRPr="00490159" w:rsidRDefault="000037D0" w:rsidP="000037D0"/>
    <w:p w14:paraId="57990304" w14:textId="77777777" w:rsidR="000037D0" w:rsidRPr="00490159" w:rsidRDefault="000037D0" w:rsidP="000037D0"/>
    <w:p w14:paraId="24158B58" w14:textId="77777777" w:rsidR="000037D0" w:rsidRPr="00490159" w:rsidRDefault="000037D0" w:rsidP="000037D0"/>
    <w:p w14:paraId="698F6F1B" w14:textId="77777777" w:rsidR="000037D0" w:rsidRPr="00490159" w:rsidRDefault="000037D0" w:rsidP="000037D0"/>
    <w:p w14:paraId="3EA64B3B" w14:textId="77777777" w:rsidR="000037D0" w:rsidRPr="00490159" w:rsidRDefault="000037D0" w:rsidP="000037D0"/>
    <w:p w14:paraId="0CA0E9E8" w14:textId="77777777" w:rsidR="000037D0" w:rsidRPr="00490159" w:rsidRDefault="000037D0" w:rsidP="000037D0"/>
    <w:p w14:paraId="143A2A19" w14:textId="77777777" w:rsidR="000037D0" w:rsidRPr="00490159" w:rsidRDefault="000037D0" w:rsidP="000037D0"/>
    <w:p w14:paraId="166DB922" w14:textId="77777777" w:rsidR="000037D0" w:rsidRPr="00490159" w:rsidRDefault="000037D0" w:rsidP="000037D0"/>
    <w:p w14:paraId="0A63FBBC" w14:textId="77777777" w:rsidR="000037D0" w:rsidRPr="00490159" w:rsidRDefault="000037D0" w:rsidP="000037D0"/>
    <w:p w14:paraId="38BD1F7B" w14:textId="77777777" w:rsidR="000037D0" w:rsidRPr="00490159" w:rsidRDefault="000037D0" w:rsidP="000037D0"/>
    <w:p w14:paraId="4A6D96C3" w14:textId="77777777" w:rsidR="000037D0" w:rsidRPr="00490159" w:rsidRDefault="000037D0" w:rsidP="000037D0"/>
    <w:p w14:paraId="693D91F3" w14:textId="77777777" w:rsidR="000037D0" w:rsidRPr="00490159" w:rsidRDefault="000037D0" w:rsidP="000037D0"/>
    <w:p w14:paraId="7A1512AE" w14:textId="77777777" w:rsidR="000037D0" w:rsidRPr="00490159" w:rsidRDefault="000037D0" w:rsidP="000037D0"/>
    <w:p w14:paraId="157AA3A3" w14:textId="77777777" w:rsidR="000037D0" w:rsidRPr="00490159" w:rsidRDefault="000037D0" w:rsidP="000037D0"/>
    <w:p w14:paraId="1CE45299" w14:textId="77777777" w:rsidR="003F145A" w:rsidRPr="00490159" w:rsidRDefault="003F145A" w:rsidP="000037D0">
      <w:pPr>
        <w:ind w:firstLine="708"/>
      </w:pPr>
    </w:p>
    <w:sectPr w:rsidR="003F145A" w:rsidRPr="00490159" w:rsidSect="003F14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5F"/>
    <w:rsid w:val="000037D0"/>
    <w:rsid w:val="0006768C"/>
    <w:rsid w:val="00101A6A"/>
    <w:rsid w:val="001125E1"/>
    <w:rsid w:val="001341A2"/>
    <w:rsid w:val="001F6967"/>
    <w:rsid w:val="00215250"/>
    <w:rsid w:val="002C3D0B"/>
    <w:rsid w:val="002E0019"/>
    <w:rsid w:val="003573F9"/>
    <w:rsid w:val="00393CA1"/>
    <w:rsid w:val="003B32D3"/>
    <w:rsid w:val="003C711E"/>
    <w:rsid w:val="003F145A"/>
    <w:rsid w:val="00450652"/>
    <w:rsid w:val="00451A3C"/>
    <w:rsid w:val="00476B8D"/>
    <w:rsid w:val="00481539"/>
    <w:rsid w:val="0048765A"/>
    <w:rsid w:val="00490159"/>
    <w:rsid w:val="004D70CA"/>
    <w:rsid w:val="0051450C"/>
    <w:rsid w:val="005375CF"/>
    <w:rsid w:val="00551B92"/>
    <w:rsid w:val="005C04D9"/>
    <w:rsid w:val="00687DF5"/>
    <w:rsid w:val="00717318"/>
    <w:rsid w:val="00746CB5"/>
    <w:rsid w:val="00794E9A"/>
    <w:rsid w:val="00886FAF"/>
    <w:rsid w:val="00896E7E"/>
    <w:rsid w:val="0092215F"/>
    <w:rsid w:val="009311FE"/>
    <w:rsid w:val="00964FD1"/>
    <w:rsid w:val="009A4D2C"/>
    <w:rsid w:val="009B275E"/>
    <w:rsid w:val="009C4930"/>
    <w:rsid w:val="009F1E97"/>
    <w:rsid w:val="00A03C92"/>
    <w:rsid w:val="00A12822"/>
    <w:rsid w:val="00AB3C9E"/>
    <w:rsid w:val="00AD61A9"/>
    <w:rsid w:val="00AF79E0"/>
    <w:rsid w:val="00B0011A"/>
    <w:rsid w:val="00B57A71"/>
    <w:rsid w:val="00B7794B"/>
    <w:rsid w:val="00BD7207"/>
    <w:rsid w:val="00C03237"/>
    <w:rsid w:val="00C15149"/>
    <w:rsid w:val="00C31E65"/>
    <w:rsid w:val="00C6413D"/>
    <w:rsid w:val="00C7101B"/>
    <w:rsid w:val="00CD5DAC"/>
    <w:rsid w:val="00D45E0E"/>
    <w:rsid w:val="00D92CC3"/>
    <w:rsid w:val="00DE371C"/>
    <w:rsid w:val="00EA30F4"/>
    <w:rsid w:val="00EC0F81"/>
    <w:rsid w:val="00ED0CD9"/>
    <w:rsid w:val="00F24620"/>
    <w:rsid w:val="00F63C32"/>
    <w:rsid w:val="00FB7844"/>
    <w:rsid w:val="00FC0B6E"/>
    <w:rsid w:val="00FE7679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F348"/>
  <w15:docId w15:val="{0A8A5FE8-403C-4B82-92DE-602B260F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15F"/>
    <w:rPr>
      <w:color w:val="0000FF"/>
      <w:u w:val="single"/>
    </w:rPr>
  </w:style>
  <w:style w:type="character" w:customStyle="1" w:styleId="a4">
    <w:name w:val="Печатная машинка"/>
    <w:rsid w:val="0092215F"/>
    <w:rPr>
      <w:rFonts w:ascii="Courier New" w:hAnsi="Courier New" w:cs="Courier New" w:hint="default"/>
      <w:sz w:val="20"/>
    </w:rPr>
  </w:style>
  <w:style w:type="paragraph" w:styleId="a5">
    <w:name w:val="No Spacing"/>
    <w:uiPriority w:val="1"/>
    <w:qFormat/>
    <w:rsid w:val="00B7794B"/>
    <w:rPr>
      <w:rFonts w:asciiTheme="minorHAnsi" w:hAnsiTheme="minorHAnsi"/>
      <w:sz w:val="22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F4A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A1D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3573F9"/>
    <w:rPr>
      <w:color w:val="800080" w:themeColor="followedHyperlink"/>
      <w:u w:val="single"/>
    </w:rPr>
  </w:style>
  <w:style w:type="paragraph" w:customStyle="1" w:styleId="a9">
    <w:name w:val="Нормальний текст"/>
    <w:basedOn w:val="a"/>
    <w:rsid w:val="0048765A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a">
    <w:name w:val="List Paragraph"/>
    <w:basedOn w:val="a"/>
    <w:uiPriority w:val="34"/>
    <w:qFormat/>
    <w:rsid w:val="009A4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Ac473EulCFtP0UUaJAPenC2JfTQcxvn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uh_imesg@ukr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nc-imesh@ukr.net" TargetMode="Externa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44</dc:creator>
  <cp:lastModifiedBy>User_05</cp:lastModifiedBy>
  <cp:revision>8</cp:revision>
  <cp:lastPrinted>2020-12-08T13:29:00Z</cp:lastPrinted>
  <dcterms:created xsi:type="dcterms:W3CDTF">2021-03-22T08:30:00Z</dcterms:created>
  <dcterms:modified xsi:type="dcterms:W3CDTF">2021-04-12T14:17:00Z</dcterms:modified>
</cp:coreProperties>
</file>