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B66FC2" w:rsidRPr="00B66FC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332A1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3B2D63" w:rsidRPr="004F7859" w:rsidRDefault="003B2D63" w:rsidP="003B2D63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B82DC6" w:rsidRDefault="00853680" w:rsidP="00B82DC6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B82DC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B82DC6" w:rsidRPr="00B82DC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ежитлового приміщення 1-го поверху в нежитловій будівлі</w:t>
      </w:r>
    </w:p>
    <w:p w:rsidR="009E152C" w:rsidRPr="001D70B7" w:rsidRDefault="00B82DC6" w:rsidP="009E152C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82DC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"Е-1"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Pr="00B82DC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48,4 </w:t>
      </w:r>
      <w:r w:rsidR="009E15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кв.м; </w:t>
      </w:r>
      <w:r w:rsidR="009E152C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9E15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9E152C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9E15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9E152C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E152C" w:rsidRPr="001D70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 поверху в нежитловій будівлі</w:t>
      </w:r>
    </w:p>
    <w:p w:rsidR="009E152C" w:rsidRDefault="009E152C" w:rsidP="009E152C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Pr="001D70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Е-1</w:t>
      </w: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Pr="001D70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136,6</w:t>
      </w:r>
      <w:r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кв.м загальною площею </w:t>
      </w:r>
      <w:r w:rsidRPr="009E15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185,0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 за адресою: м. Харків, п</w:t>
      </w:r>
      <w:r w:rsidRPr="001D70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роспект Ювілейний, буд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1D70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28-А</w:t>
      </w:r>
    </w:p>
    <w:p w:rsidR="001D70B7" w:rsidRPr="00274CFC" w:rsidRDefault="001D70B7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B82DC6" w:rsidRPr="00B82DC6" w:rsidRDefault="00B82DC6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B82DC6">
              <w:rPr>
                <w:sz w:val="26"/>
                <w:szCs w:val="26"/>
              </w:rPr>
              <w:t xml:space="preserve">Нежитлове приміщення 1-го поверху № 9 в нежитловій будівлі літ. "Е-1", </w:t>
            </w:r>
            <w:r w:rsidR="001D70B7" w:rsidRPr="00B82DC6">
              <w:rPr>
                <w:sz w:val="26"/>
                <w:szCs w:val="26"/>
              </w:rPr>
              <w:t xml:space="preserve"> </w:t>
            </w:r>
            <w:r w:rsidR="000C29B1" w:rsidRPr="00B82DC6">
              <w:rPr>
                <w:sz w:val="26"/>
                <w:szCs w:val="26"/>
              </w:rPr>
              <w:t>площею</w:t>
            </w:r>
            <w:r w:rsidR="001D70B7" w:rsidRPr="00B82DC6">
              <w:rPr>
                <w:sz w:val="26"/>
                <w:szCs w:val="26"/>
              </w:rPr>
              <w:t xml:space="preserve"> </w:t>
            </w:r>
            <w:r w:rsidRPr="00B82DC6">
              <w:rPr>
                <w:sz w:val="26"/>
                <w:szCs w:val="26"/>
              </w:rPr>
              <w:t xml:space="preserve">48,4 </w:t>
            </w:r>
            <w:r w:rsidR="000C29B1" w:rsidRPr="00B82DC6">
              <w:rPr>
                <w:sz w:val="26"/>
                <w:szCs w:val="26"/>
              </w:rPr>
              <w:t>кв.м</w:t>
            </w:r>
            <w:r w:rsidR="00F52D37">
              <w:rPr>
                <w:sz w:val="26"/>
                <w:szCs w:val="26"/>
              </w:rPr>
              <w:t>; н</w:t>
            </w:r>
            <w:r w:rsidR="00F52D37" w:rsidRPr="00F97922">
              <w:rPr>
                <w:sz w:val="26"/>
                <w:szCs w:val="26"/>
              </w:rPr>
              <w:t xml:space="preserve">ежитлові приміщення 1-го поверху № 2-:-8, </w:t>
            </w:r>
            <w:r w:rsidR="00F52D37">
              <w:rPr>
                <w:sz w:val="26"/>
                <w:szCs w:val="26"/>
              </w:rPr>
              <w:br/>
            </w:r>
            <w:r w:rsidR="00F52D37" w:rsidRPr="00F97922">
              <w:rPr>
                <w:sz w:val="26"/>
                <w:szCs w:val="26"/>
              </w:rPr>
              <w:t xml:space="preserve">10-:-12, 14, 15, 17 в нежитловій будівлі літ. "Е-1" </w:t>
            </w:r>
            <w:r w:rsidR="00F52D37" w:rsidRPr="00FA0953">
              <w:rPr>
                <w:sz w:val="26"/>
                <w:szCs w:val="26"/>
              </w:rPr>
              <w:t>площею</w:t>
            </w:r>
            <w:r w:rsidR="00F52D37" w:rsidRPr="00F97922">
              <w:rPr>
                <w:sz w:val="26"/>
                <w:szCs w:val="26"/>
              </w:rPr>
              <w:t xml:space="preserve"> 136,6</w:t>
            </w:r>
            <w:r w:rsidR="00F52D37" w:rsidRPr="00FA0953">
              <w:rPr>
                <w:sz w:val="26"/>
                <w:szCs w:val="26"/>
              </w:rPr>
              <w:t xml:space="preserve"> кв.м</w:t>
            </w:r>
            <w:r w:rsidR="00F52D37">
              <w:rPr>
                <w:sz w:val="26"/>
                <w:szCs w:val="26"/>
              </w:rPr>
              <w:t>,</w:t>
            </w:r>
            <w:r w:rsidR="00F52D37" w:rsidRPr="00FA0953">
              <w:rPr>
                <w:sz w:val="26"/>
                <w:szCs w:val="26"/>
              </w:rPr>
              <w:t xml:space="preserve"> загальною площею </w:t>
            </w:r>
            <w:r w:rsidR="00F52D37" w:rsidRPr="00F52D37">
              <w:rPr>
                <w:sz w:val="26"/>
                <w:szCs w:val="26"/>
              </w:rPr>
              <w:t xml:space="preserve">185,0 </w:t>
            </w:r>
            <w:r w:rsidR="00F52D37" w:rsidRPr="00B82DC6">
              <w:rPr>
                <w:sz w:val="26"/>
                <w:szCs w:val="26"/>
              </w:rPr>
              <w:t>кв.м</w:t>
            </w:r>
            <w:r w:rsidR="000C29B1" w:rsidRPr="00B82DC6">
              <w:rPr>
                <w:sz w:val="26"/>
                <w:szCs w:val="26"/>
              </w:rPr>
              <w:t xml:space="preserve"> </w:t>
            </w:r>
            <w:r w:rsidR="00033111" w:rsidRPr="00B82DC6">
              <w:rPr>
                <w:sz w:val="26"/>
                <w:szCs w:val="26"/>
              </w:rPr>
              <w:t>знаход</w:t>
            </w:r>
            <w:r w:rsidR="00F52D37">
              <w:rPr>
                <w:sz w:val="26"/>
                <w:szCs w:val="26"/>
              </w:rPr>
              <w:t>я</w:t>
            </w:r>
            <w:r w:rsidR="00033111" w:rsidRPr="00B82DC6">
              <w:rPr>
                <w:sz w:val="26"/>
                <w:szCs w:val="26"/>
              </w:rPr>
              <w:t xml:space="preserve">ться </w:t>
            </w:r>
            <w:r w:rsidR="00AF5CAD" w:rsidRPr="00B82DC6">
              <w:rPr>
                <w:sz w:val="26"/>
                <w:szCs w:val="26"/>
              </w:rPr>
              <w:t xml:space="preserve">в </w:t>
            </w:r>
            <w:r w:rsidR="00F97922" w:rsidRPr="00B82DC6">
              <w:rPr>
                <w:sz w:val="26"/>
                <w:szCs w:val="26"/>
              </w:rPr>
              <w:t>Московському</w:t>
            </w:r>
            <w:r w:rsidR="00191A0A" w:rsidRPr="00B82DC6">
              <w:rPr>
                <w:sz w:val="26"/>
                <w:szCs w:val="26"/>
              </w:rPr>
              <w:t xml:space="preserve"> </w:t>
            </w:r>
            <w:r w:rsidR="00AF5CAD" w:rsidRPr="00B82DC6">
              <w:rPr>
                <w:sz w:val="26"/>
                <w:szCs w:val="26"/>
              </w:rPr>
              <w:t>районі міста за адресою:</w:t>
            </w:r>
            <w:r w:rsidR="00F52D37">
              <w:rPr>
                <w:sz w:val="26"/>
                <w:szCs w:val="26"/>
              </w:rPr>
              <w:br/>
            </w:r>
            <w:r w:rsidR="00442F9B" w:rsidRPr="00B82DC6">
              <w:rPr>
                <w:sz w:val="26"/>
                <w:szCs w:val="26"/>
              </w:rPr>
              <w:t xml:space="preserve">м. Харків, </w:t>
            </w:r>
            <w:r w:rsidR="001D70B7" w:rsidRPr="00B82DC6">
              <w:rPr>
                <w:sz w:val="26"/>
                <w:szCs w:val="26"/>
              </w:rPr>
              <w:t>проспект Ювілейний, будинок 28-А</w:t>
            </w:r>
            <w:r w:rsidR="00AF5CAD" w:rsidRPr="00B82DC6">
              <w:rPr>
                <w:sz w:val="26"/>
                <w:szCs w:val="26"/>
              </w:rPr>
              <w:t>.</w:t>
            </w:r>
            <w:r w:rsidR="00BA3F80" w:rsidRPr="00B82DC6">
              <w:rPr>
                <w:sz w:val="26"/>
                <w:szCs w:val="26"/>
              </w:rPr>
              <w:t xml:space="preserve"> </w:t>
            </w:r>
          </w:p>
          <w:p w:rsidR="00C67755" w:rsidRPr="00B82DC6" w:rsidRDefault="008C3A91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B82DC6">
              <w:rPr>
                <w:sz w:val="26"/>
                <w:szCs w:val="26"/>
              </w:rPr>
              <w:t>Рік побудови – 19</w:t>
            </w:r>
            <w:r w:rsidR="00F97922" w:rsidRPr="00B82DC6">
              <w:rPr>
                <w:sz w:val="26"/>
                <w:szCs w:val="26"/>
              </w:rPr>
              <w:t>90</w:t>
            </w:r>
            <w:r w:rsidR="00C04B71" w:rsidRPr="00B82DC6">
              <w:rPr>
                <w:sz w:val="26"/>
                <w:szCs w:val="26"/>
              </w:rPr>
              <w:t>.</w:t>
            </w:r>
            <w:r w:rsidRPr="00B82DC6">
              <w:rPr>
                <w:sz w:val="26"/>
                <w:szCs w:val="26"/>
              </w:rPr>
              <w:t xml:space="preserve"> </w:t>
            </w:r>
          </w:p>
          <w:p w:rsidR="0011483B" w:rsidRPr="00B82DC6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B82DC6">
              <w:rPr>
                <w:sz w:val="26"/>
                <w:szCs w:val="26"/>
              </w:rPr>
              <w:t>В</w:t>
            </w:r>
            <w:r w:rsidR="00552E04" w:rsidRPr="00B82DC6">
              <w:rPr>
                <w:sz w:val="26"/>
                <w:szCs w:val="26"/>
              </w:rPr>
              <w:t xml:space="preserve">хід </w:t>
            </w:r>
            <w:r w:rsidR="00C67755" w:rsidRPr="00B82DC6">
              <w:rPr>
                <w:sz w:val="26"/>
                <w:szCs w:val="26"/>
              </w:rPr>
              <w:t>до</w:t>
            </w:r>
            <w:r w:rsidR="00AA13EE" w:rsidRPr="00B82DC6">
              <w:rPr>
                <w:sz w:val="26"/>
                <w:szCs w:val="26"/>
              </w:rPr>
              <w:t xml:space="preserve"> приміщен</w:t>
            </w:r>
            <w:r w:rsidR="00F52D37">
              <w:rPr>
                <w:sz w:val="26"/>
                <w:szCs w:val="26"/>
              </w:rPr>
              <w:t>ь</w:t>
            </w:r>
            <w:r w:rsidR="00AA13EE" w:rsidRPr="00B82DC6">
              <w:rPr>
                <w:sz w:val="26"/>
                <w:szCs w:val="26"/>
              </w:rPr>
              <w:t xml:space="preserve"> </w:t>
            </w:r>
            <w:r w:rsidR="00F048E7" w:rsidRPr="00B82DC6">
              <w:rPr>
                <w:sz w:val="26"/>
                <w:szCs w:val="26"/>
              </w:rPr>
              <w:t>окремий</w:t>
            </w:r>
            <w:r w:rsidR="00D53061" w:rsidRPr="00B82DC6">
              <w:rPr>
                <w:sz w:val="26"/>
                <w:szCs w:val="26"/>
              </w:rPr>
              <w:t>.</w:t>
            </w:r>
            <w:r w:rsidR="00C15DE5" w:rsidRPr="00B82DC6">
              <w:rPr>
                <w:sz w:val="26"/>
                <w:szCs w:val="26"/>
              </w:rPr>
              <w:t xml:space="preserve"> Планування приміщен</w:t>
            </w:r>
            <w:r w:rsidR="00F52D37">
              <w:rPr>
                <w:sz w:val="26"/>
                <w:szCs w:val="26"/>
              </w:rPr>
              <w:t>ь</w:t>
            </w:r>
            <w:r w:rsidR="00F618D3" w:rsidRPr="00B82DC6">
              <w:rPr>
                <w:sz w:val="26"/>
                <w:szCs w:val="26"/>
              </w:rPr>
              <w:t xml:space="preserve"> </w:t>
            </w:r>
            <w:r w:rsidR="00552E04" w:rsidRPr="00B82DC6">
              <w:rPr>
                <w:sz w:val="26"/>
                <w:szCs w:val="26"/>
              </w:rPr>
              <w:t>відповідає технічному плану.</w:t>
            </w:r>
            <w:r w:rsidR="00F618D3" w:rsidRPr="00B82DC6">
              <w:rPr>
                <w:sz w:val="26"/>
                <w:szCs w:val="26"/>
              </w:rPr>
              <w:t xml:space="preserve"> </w:t>
            </w:r>
            <w:bookmarkStart w:id="3" w:name="_Hlk6389308"/>
          </w:p>
          <w:p w:rsidR="00A227D2" w:rsidRDefault="003C5BAA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B82DC6">
              <w:rPr>
                <w:sz w:val="26"/>
                <w:szCs w:val="26"/>
              </w:rPr>
              <w:t>Фундамент</w:t>
            </w:r>
            <w:r w:rsidR="00D53061" w:rsidRPr="00B82DC6">
              <w:rPr>
                <w:sz w:val="26"/>
                <w:szCs w:val="26"/>
              </w:rPr>
              <w:t>– бетонний</w:t>
            </w:r>
            <w:r w:rsidRPr="00B82DC6">
              <w:rPr>
                <w:sz w:val="26"/>
                <w:szCs w:val="26"/>
              </w:rPr>
              <w:t>, с</w:t>
            </w:r>
            <w:r w:rsidR="00A227D2" w:rsidRPr="00B82DC6">
              <w:rPr>
                <w:sz w:val="26"/>
                <w:szCs w:val="26"/>
              </w:rPr>
              <w:t>тіни– цегляні,</w:t>
            </w:r>
            <w:r w:rsidR="00ED2B9F" w:rsidRPr="00B82DC6">
              <w:rPr>
                <w:sz w:val="26"/>
                <w:szCs w:val="26"/>
              </w:rPr>
              <w:t xml:space="preserve"> </w:t>
            </w:r>
            <w:r w:rsidRPr="00B82DC6">
              <w:rPr>
                <w:sz w:val="26"/>
                <w:szCs w:val="26"/>
              </w:rPr>
              <w:t xml:space="preserve">перекриття – залізобетонні, </w:t>
            </w:r>
            <w:r w:rsidR="00EF2171" w:rsidRPr="00B82DC6">
              <w:rPr>
                <w:sz w:val="26"/>
                <w:szCs w:val="26"/>
              </w:rPr>
              <w:t xml:space="preserve">підлога </w:t>
            </w:r>
            <w:r w:rsidR="00D53061" w:rsidRPr="00B82DC6">
              <w:rPr>
                <w:sz w:val="26"/>
                <w:szCs w:val="26"/>
              </w:rPr>
              <w:t>вкрита плиткою</w:t>
            </w:r>
            <w:r w:rsidRPr="00B82DC6">
              <w:rPr>
                <w:sz w:val="26"/>
                <w:szCs w:val="26"/>
              </w:rPr>
              <w:t xml:space="preserve">, </w:t>
            </w:r>
            <w:r w:rsidR="00D53061" w:rsidRPr="00B82DC6">
              <w:rPr>
                <w:sz w:val="26"/>
                <w:szCs w:val="26"/>
              </w:rPr>
              <w:t xml:space="preserve">вікна – пластикові, </w:t>
            </w:r>
            <w:r w:rsidRPr="00B82DC6">
              <w:rPr>
                <w:sz w:val="26"/>
                <w:szCs w:val="26"/>
              </w:rPr>
              <w:t xml:space="preserve"> двері</w:t>
            </w:r>
            <w:r w:rsidR="000051E2" w:rsidRPr="00B82DC6">
              <w:rPr>
                <w:sz w:val="26"/>
                <w:szCs w:val="26"/>
              </w:rPr>
              <w:t xml:space="preserve"> </w:t>
            </w:r>
            <w:r w:rsidR="00D53061" w:rsidRPr="00B82DC6">
              <w:rPr>
                <w:sz w:val="26"/>
                <w:szCs w:val="26"/>
              </w:rPr>
              <w:t>– металеві</w:t>
            </w:r>
            <w:r w:rsidRPr="00B82DC6">
              <w:rPr>
                <w:sz w:val="26"/>
                <w:szCs w:val="26"/>
              </w:rPr>
              <w:t>.</w:t>
            </w:r>
          </w:p>
          <w:p w:rsidR="00F52D37" w:rsidRDefault="00F52D37" w:rsidP="00F52D37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приміщенні </w:t>
            </w:r>
            <w:r w:rsidRPr="00B82DC6">
              <w:rPr>
                <w:sz w:val="26"/>
                <w:szCs w:val="26"/>
              </w:rPr>
              <w:t>площею 48,4 кв.м</w:t>
            </w:r>
            <w:r>
              <w:rPr>
                <w:sz w:val="26"/>
                <w:szCs w:val="26"/>
              </w:rPr>
              <w:t xml:space="preserve"> </w:t>
            </w:r>
            <w:r w:rsidRPr="00B82DC6">
              <w:rPr>
                <w:sz w:val="26"/>
                <w:szCs w:val="26"/>
              </w:rPr>
              <w:t>є</w:t>
            </w:r>
            <w:r>
              <w:rPr>
                <w:sz w:val="26"/>
                <w:szCs w:val="26"/>
              </w:rPr>
              <w:t xml:space="preserve"> е</w:t>
            </w:r>
            <w:r w:rsidRPr="00B82DC6">
              <w:rPr>
                <w:sz w:val="26"/>
                <w:szCs w:val="26"/>
              </w:rPr>
              <w:t>лектропостачання, знаход</w:t>
            </w:r>
            <w:r>
              <w:rPr>
                <w:sz w:val="26"/>
                <w:szCs w:val="26"/>
              </w:rPr>
              <w:t>и</w:t>
            </w:r>
            <w:r w:rsidRPr="00B82DC6">
              <w:rPr>
                <w:sz w:val="26"/>
                <w:szCs w:val="26"/>
              </w:rPr>
              <w:t>ться в робочому стані. Опалення є, автономне.</w:t>
            </w:r>
            <w:r>
              <w:rPr>
                <w:sz w:val="26"/>
                <w:szCs w:val="26"/>
              </w:rPr>
              <w:t xml:space="preserve"> </w:t>
            </w:r>
            <w:r w:rsidRPr="001027D5">
              <w:rPr>
                <w:sz w:val="26"/>
                <w:szCs w:val="26"/>
              </w:rPr>
              <w:t>Водопостачання, водовідведення</w:t>
            </w:r>
            <w:r>
              <w:rPr>
                <w:sz w:val="26"/>
                <w:szCs w:val="26"/>
              </w:rPr>
              <w:t xml:space="preserve"> немає.</w:t>
            </w:r>
          </w:p>
          <w:p w:rsidR="00F52D37" w:rsidRDefault="00F52D37" w:rsidP="00F52D37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приміщеннях </w:t>
            </w:r>
            <w:r w:rsidRPr="00FA0953">
              <w:rPr>
                <w:sz w:val="26"/>
                <w:szCs w:val="26"/>
              </w:rPr>
              <w:t>площею</w:t>
            </w:r>
            <w:r w:rsidRPr="00F97922">
              <w:rPr>
                <w:sz w:val="26"/>
                <w:szCs w:val="26"/>
              </w:rPr>
              <w:t xml:space="preserve"> 136,6</w:t>
            </w:r>
            <w:r w:rsidRPr="00FA0953">
              <w:rPr>
                <w:sz w:val="26"/>
                <w:szCs w:val="26"/>
              </w:rPr>
              <w:t xml:space="preserve"> кв.м</w:t>
            </w:r>
            <w:r w:rsidRPr="00D720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D72098">
              <w:rPr>
                <w:sz w:val="26"/>
                <w:szCs w:val="26"/>
              </w:rPr>
              <w:t>одопостачання, водовідведення, електропостачання є, знаход</w:t>
            </w:r>
            <w:r>
              <w:rPr>
                <w:sz w:val="26"/>
                <w:szCs w:val="26"/>
              </w:rPr>
              <w:t>я</w:t>
            </w:r>
            <w:r w:rsidRPr="00D72098">
              <w:rPr>
                <w:sz w:val="26"/>
                <w:szCs w:val="26"/>
              </w:rPr>
              <w:t xml:space="preserve">ться в робочому стані. Опалення </w:t>
            </w:r>
            <w:r>
              <w:rPr>
                <w:sz w:val="26"/>
                <w:szCs w:val="26"/>
              </w:rPr>
              <w:t>є, автономне</w:t>
            </w:r>
            <w:r w:rsidRPr="00D72098">
              <w:rPr>
                <w:sz w:val="26"/>
                <w:szCs w:val="26"/>
              </w:rPr>
              <w:t>.</w:t>
            </w:r>
          </w:p>
          <w:p w:rsidR="00AD74A4" w:rsidRPr="00B82DC6" w:rsidRDefault="00AD74A4" w:rsidP="00AD74A4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Між орендарем та балансоутримувачем </w:t>
            </w:r>
            <w:r w:rsidRPr="004A0E94">
              <w:rPr>
                <w:sz w:val="26"/>
                <w:szCs w:val="26"/>
              </w:rPr>
              <w:t>Комунальн</w:t>
            </w:r>
            <w:r>
              <w:rPr>
                <w:sz w:val="26"/>
                <w:szCs w:val="26"/>
              </w:rPr>
              <w:t>им</w:t>
            </w:r>
            <w:r w:rsidRPr="004A0E94">
              <w:rPr>
                <w:sz w:val="26"/>
                <w:szCs w:val="26"/>
              </w:rPr>
              <w:t xml:space="preserve"> підрядн</w:t>
            </w:r>
            <w:r>
              <w:rPr>
                <w:sz w:val="26"/>
                <w:szCs w:val="26"/>
              </w:rPr>
              <w:t>им</w:t>
            </w:r>
            <w:r w:rsidRPr="004A0E94">
              <w:rPr>
                <w:sz w:val="26"/>
                <w:szCs w:val="26"/>
              </w:rPr>
              <w:t xml:space="preserve"> спеціалізован</w:t>
            </w:r>
            <w:r>
              <w:rPr>
                <w:sz w:val="26"/>
                <w:szCs w:val="26"/>
              </w:rPr>
              <w:t>им</w:t>
            </w:r>
            <w:r w:rsidRPr="004A0E94">
              <w:rPr>
                <w:sz w:val="26"/>
                <w:szCs w:val="26"/>
              </w:rPr>
              <w:t xml:space="preserve"> підприємство</w:t>
            </w:r>
            <w:r>
              <w:rPr>
                <w:sz w:val="26"/>
                <w:szCs w:val="26"/>
              </w:rPr>
              <w:t>м</w:t>
            </w:r>
            <w:r w:rsidRPr="004A0E94">
              <w:rPr>
                <w:sz w:val="26"/>
                <w:szCs w:val="26"/>
              </w:rPr>
              <w:t xml:space="preserve"> по ремонту і будівництву автошляхів «Шляхрембуд» у</w:t>
            </w:r>
            <w:r>
              <w:rPr>
                <w:sz w:val="26"/>
                <w:szCs w:val="26"/>
              </w:rPr>
              <w:t>кладено договір №4/12 від 04.12.2017 про відшкодування витрат балансоутримувача на надання комунальних послуг.</w:t>
            </w:r>
          </w:p>
          <w:p w:rsidR="00A227D2" w:rsidRPr="00B82DC6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B82DC6">
              <w:rPr>
                <w:sz w:val="26"/>
                <w:szCs w:val="26"/>
              </w:rPr>
              <w:t>Приміщення</w:t>
            </w:r>
            <w:r w:rsidR="00FA0953" w:rsidRPr="00B82DC6">
              <w:rPr>
                <w:sz w:val="26"/>
                <w:szCs w:val="26"/>
              </w:rPr>
              <w:t xml:space="preserve"> </w:t>
            </w:r>
            <w:r w:rsidR="000051E2" w:rsidRPr="00B82DC6">
              <w:rPr>
                <w:sz w:val="26"/>
                <w:szCs w:val="26"/>
              </w:rPr>
              <w:t>знаходяться у задовільному стані.</w:t>
            </w:r>
          </w:p>
          <w:p w:rsidR="00853680" w:rsidRPr="00B82DC6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B82DC6">
              <w:rPr>
                <w:sz w:val="26"/>
                <w:szCs w:val="26"/>
              </w:rPr>
              <w:t>Право власності зареєстровано. Реєстраційн</w:t>
            </w:r>
            <w:r w:rsidR="00F52D37">
              <w:rPr>
                <w:sz w:val="26"/>
                <w:szCs w:val="26"/>
              </w:rPr>
              <w:t>і</w:t>
            </w:r>
            <w:r w:rsidRPr="00B82DC6">
              <w:rPr>
                <w:sz w:val="26"/>
                <w:szCs w:val="26"/>
              </w:rPr>
              <w:t xml:space="preserve"> номер</w:t>
            </w:r>
            <w:r w:rsidR="00F52D37">
              <w:rPr>
                <w:sz w:val="26"/>
                <w:szCs w:val="26"/>
              </w:rPr>
              <w:t>а</w:t>
            </w:r>
            <w:r w:rsidRPr="00B82DC6">
              <w:rPr>
                <w:sz w:val="26"/>
                <w:szCs w:val="26"/>
              </w:rPr>
              <w:t xml:space="preserve"> об’єкта нерухомого майна </w:t>
            </w:r>
            <w:r w:rsidR="00B82DC6" w:rsidRPr="00B82DC6">
              <w:rPr>
                <w:sz w:val="26"/>
                <w:szCs w:val="26"/>
              </w:rPr>
              <w:t>2014660063101</w:t>
            </w:r>
            <w:r w:rsidR="00F52D37">
              <w:rPr>
                <w:sz w:val="26"/>
                <w:szCs w:val="26"/>
              </w:rPr>
              <w:t xml:space="preserve">; </w:t>
            </w:r>
            <w:r w:rsidR="00F52D37" w:rsidRPr="00F97922">
              <w:rPr>
                <w:sz w:val="26"/>
                <w:szCs w:val="26"/>
              </w:rPr>
              <w:t>2015151563101</w:t>
            </w:r>
            <w:r w:rsidR="00853680" w:rsidRPr="00B82DC6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B63824" w:rsidTr="00833EBF">
        <w:trPr>
          <w:cantSplit/>
        </w:trPr>
        <w:tc>
          <w:tcPr>
            <w:tcW w:w="6451" w:type="dxa"/>
          </w:tcPr>
          <w:p w:rsidR="00853680" w:rsidRPr="00B63824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6382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F52D37" w:rsidRPr="00232E72" w:rsidRDefault="00F97922" w:rsidP="006B2103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bookmarkStart w:id="5" w:name="_Hlk6389361"/>
            <w:r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Зазначені нежитлові приміщення знаходяться в оренді у ТОВ «Еталонтехсервіс». Розмір місячної орендної плати складав </w:t>
            </w:r>
            <w:bookmarkStart w:id="6" w:name="_Hlk11142392"/>
            <w:r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у </w:t>
            </w:r>
            <w:r w:rsidR="009648A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березні</w:t>
            </w:r>
            <w:r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202</w:t>
            </w:r>
            <w:r w:rsidR="00B63824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–</w:t>
            </w:r>
            <w:bookmarkEnd w:id="6"/>
            <w:r w:rsidR="00F52D3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</w:t>
            </w:r>
            <w:r w:rsidR="006B210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003,58</w:t>
            </w:r>
            <w:r w:rsidR="009648A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грн. Строк дії договору оренди № 67</w:t>
            </w:r>
            <w:r w:rsidR="00B63824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62</w:t>
            </w:r>
            <w:r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від 04.1</w:t>
            </w:r>
            <w:r w:rsidR="00B63824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  <w:r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.2017– до </w:t>
            </w:r>
            <w:r w:rsidR="00B63824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28.0</w:t>
            </w:r>
            <w:r w:rsidR="006202A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  <w:r w:rsidR="00B63824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.20</w:t>
            </w:r>
            <w:r w:rsidR="006202A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22</w:t>
            </w:r>
            <w:r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F97922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підрядне спеціалізоване підприємство по ремонту і будівництву автошляхів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Шляхрембуд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03359182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адреса: 610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м. Харків, вул.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Москалівська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буд.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F979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19.11.2019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CF2A5C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>Аукціон з умовами</w:t>
            </w:r>
            <w:r w:rsidR="00CF2A5C">
              <w:rPr>
                <w:b/>
                <w:bCs/>
              </w:rPr>
              <w:t xml:space="preserve">: </w:t>
            </w:r>
            <w:r w:rsidR="00CF2A5C" w:rsidRPr="00DC64A0">
              <w:rPr>
                <w:b/>
                <w:bCs/>
                <w:color w:val="000000"/>
                <w:u w:val="single"/>
              </w:rPr>
              <w:t>24.06.2021 (двадцять четвертого червня дві тисячі двадцять першого року)</w:t>
            </w:r>
            <w:r w:rsidR="00CF2A5C" w:rsidRPr="00CF2A5C">
              <w:rPr>
                <w:b/>
                <w:bCs/>
                <w:color w:val="000000"/>
              </w:rPr>
              <w:t xml:space="preserve">,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29030D">
              <w:rPr>
                <w:color w:val="000000"/>
              </w:rPr>
              <w:t>1 </w:t>
            </w:r>
            <w:r w:rsidR="002E7938">
              <w:rPr>
                <w:color w:val="000000"/>
              </w:rPr>
              <w:t>491</w:t>
            </w:r>
            <w:r w:rsidR="0029030D">
              <w:rPr>
                <w:color w:val="000000"/>
              </w:rPr>
              <w:t> </w:t>
            </w:r>
            <w:r w:rsidR="002E7938">
              <w:rPr>
                <w:color w:val="000000"/>
              </w:rPr>
              <w:t>600</w:t>
            </w:r>
            <w:r w:rsidR="0029030D">
              <w:rPr>
                <w:color w:val="000000"/>
              </w:rPr>
              <w:t xml:space="preserve">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2E7938">
              <w:rPr>
                <w:color w:val="000000"/>
              </w:rPr>
              <w:t>745 800,00</w:t>
            </w:r>
            <w:r w:rsidR="0029030D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2E7938">
              <w:rPr>
                <w:color w:val="000000"/>
              </w:rPr>
              <w:t xml:space="preserve">745 800,00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0E7CDD">
              <w:t xml:space="preserve">149 160,00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0E7CDD">
              <w:t xml:space="preserve">74 580,00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0E7CDD">
              <w:t xml:space="preserve">74 580,00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A34F8B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093BB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C81E90" w:rsidRPr="00024D0E" w:rsidRDefault="00C81E90" w:rsidP="00C81E90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6877" w:rsidRPr="00A34F8B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A34F8B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F1176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8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8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326877" w:rsidRPr="00A34F8B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F35" w:rsidRPr="004E4A5A" w:rsidRDefault="00326F35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9" w:name="_GoBack"/>
            <w:bookmarkEnd w:id="9"/>
            <w:r w:rsidRPr="00F1176D">
              <w:rPr>
                <w:rFonts w:ascii="Arial" w:hAnsi="Arial" w:cs="Arial"/>
                <w:color w:val="333333"/>
                <w:shd w:val="clear" w:color="auto" w:fill="F0F5F2"/>
                <w:lang w:val="en-US"/>
              </w:rPr>
              <w:t>UA-AR-P-2021-04-26-000013-1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29030D" w:rsidRPr="002903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BA4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29030D" w:rsidRPr="002903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BA4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916</w:t>
            </w:r>
            <w:r w:rsidR="0029030D" w:rsidRPr="002903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BA4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  <w:r w:rsidR="0029030D" w:rsidRPr="002903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BA4DCF">
              <w:t>7 458,00</w:t>
            </w:r>
            <w:r w:rsidR="0029030D">
              <w:t xml:space="preserve">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BA4DCF">
              <w:t xml:space="preserve">7 458,00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29030D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2903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A34F8B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093BB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B9" w:rsidRDefault="00093BB9" w:rsidP="00C3342C">
      <w:pPr>
        <w:spacing w:after="0" w:line="240" w:lineRule="auto"/>
      </w:pPr>
      <w:r>
        <w:separator/>
      </w:r>
    </w:p>
  </w:endnote>
  <w:endnote w:type="continuationSeparator" w:id="0">
    <w:p w:rsidR="00093BB9" w:rsidRDefault="00093BB9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B9" w:rsidRDefault="00093BB9" w:rsidP="00C3342C">
      <w:pPr>
        <w:spacing w:after="0" w:line="240" w:lineRule="auto"/>
      </w:pPr>
      <w:r>
        <w:separator/>
      </w:r>
    </w:p>
  </w:footnote>
  <w:footnote w:type="continuationSeparator" w:id="0">
    <w:p w:rsidR="00093BB9" w:rsidRDefault="00093BB9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51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93BB9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E7CDD"/>
    <w:rsid w:val="000F20AE"/>
    <w:rsid w:val="000F7812"/>
    <w:rsid w:val="00100148"/>
    <w:rsid w:val="001007F5"/>
    <w:rsid w:val="001027D5"/>
    <w:rsid w:val="001068FD"/>
    <w:rsid w:val="00110CFA"/>
    <w:rsid w:val="00111EFD"/>
    <w:rsid w:val="0011483B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D70B7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2E72"/>
    <w:rsid w:val="002362C9"/>
    <w:rsid w:val="00236D84"/>
    <w:rsid w:val="00247C52"/>
    <w:rsid w:val="00252380"/>
    <w:rsid w:val="00264CAC"/>
    <w:rsid w:val="00274CFC"/>
    <w:rsid w:val="00280445"/>
    <w:rsid w:val="0028662B"/>
    <w:rsid w:val="0029030D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E7938"/>
    <w:rsid w:val="002F17C0"/>
    <w:rsid w:val="0031131B"/>
    <w:rsid w:val="0031437B"/>
    <w:rsid w:val="00315520"/>
    <w:rsid w:val="0032603E"/>
    <w:rsid w:val="00326877"/>
    <w:rsid w:val="00326F35"/>
    <w:rsid w:val="003274B1"/>
    <w:rsid w:val="00332A1A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B2D63"/>
    <w:rsid w:val="003C30E5"/>
    <w:rsid w:val="003C5BAA"/>
    <w:rsid w:val="003C6179"/>
    <w:rsid w:val="003D441E"/>
    <w:rsid w:val="003D7CDF"/>
    <w:rsid w:val="003E3A87"/>
    <w:rsid w:val="003F7EDA"/>
    <w:rsid w:val="00400584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0E9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02A6"/>
    <w:rsid w:val="00623076"/>
    <w:rsid w:val="00624DBD"/>
    <w:rsid w:val="00670CC6"/>
    <w:rsid w:val="00674896"/>
    <w:rsid w:val="006904F0"/>
    <w:rsid w:val="00695CF7"/>
    <w:rsid w:val="006B2103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0784E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57365"/>
    <w:rsid w:val="00760F82"/>
    <w:rsid w:val="00766EEE"/>
    <w:rsid w:val="00773348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1CAD"/>
    <w:rsid w:val="00874BBA"/>
    <w:rsid w:val="00890998"/>
    <w:rsid w:val="00896087"/>
    <w:rsid w:val="008A020E"/>
    <w:rsid w:val="008B38E1"/>
    <w:rsid w:val="008B5A09"/>
    <w:rsid w:val="008C3A91"/>
    <w:rsid w:val="008C6D44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648A0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9E152C"/>
    <w:rsid w:val="00A00A68"/>
    <w:rsid w:val="00A102DA"/>
    <w:rsid w:val="00A207A0"/>
    <w:rsid w:val="00A227D2"/>
    <w:rsid w:val="00A2412D"/>
    <w:rsid w:val="00A244D4"/>
    <w:rsid w:val="00A34F8B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2910"/>
    <w:rsid w:val="00AA534E"/>
    <w:rsid w:val="00AB5D6E"/>
    <w:rsid w:val="00AB5F90"/>
    <w:rsid w:val="00AC7476"/>
    <w:rsid w:val="00AD74A4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24C4E"/>
    <w:rsid w:val="00B33814"/>
    <w:rsid w:val="00B350AE"/>
    <w:rsid w:val="00B41FB0"/>
    <w:rsid w:val="00B459F8"/>
    <w:rsid w:val="00B50ED3"/>
    <w:rsid w:val="00B63824"/>
    <w:rsid w:val="00B66FC2"/>
    <w:rsid w:val="00B82DC6"/>
    <w:rsid w:val="00B91B59"/>
    <w:rsid w:val="00B9302B"/>
    <w:rsid w:val="00B95A14"/>
    <w:rsid w:val="00BA0AC1"/>
    <w:rsid w:val="00BA3F80"/>
    <w:rsid w:val="00BA4DCF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BF7F11"/>
    <w:rsid w:val="00C04B71"/>
    <w:rsid w:val="00C06F01"/>
    <w:rsid w:val="00C10000"/>
    <w:rsid w:val="00C13393"/>
    <w:rsid w:val="00C15DE5"/>
    <w:rsid w:val="00C16F66"/>
    <w:rsid w:val="00C30703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1E90"/>
    <w:rsid w:val="00C848FD"/>
    <w:rsid w:val="00C9278B"/>
    <w:rsid w:val="00C96997"/>
    <w:rsid w:val="00CA548C"/>
    <w:rsid w:val="00CB2137"/>
    <w:rsid w:val="00CC6B04"/>
    <w:rsid w:val="00CD33C2"/>
    <w:rsid w:val="00CD7E95"/>
    <w:rsid w:val="00CE1D54"/>
    <w:rsid w:val="00CE7DE2"/>
    <w:rsid w:val="00CF2A5C"/>
    <w:rsid w:val="00D01313"/>
    <w:rsid w:val="00D03110"/>
    <w:rsid w:val="00D10745"/>
    <w:rsid w:val="00D133F6"/>
    <w:rsid w:val="00D15F35"/>
    <w:rsid w:val="00D2251D"/>
    <w:rsid w:val="00D300DB"/>
    <w:rsid w:val="00D34DD4"/>
    <w:rsid w:val="00D42EA7"/>
    <w:rsid w:val="00D43DCE"/>
    <w:rsid w:val="00D47950"/>
    <w:rsid w:val="00D504C9"/>
    <w:rsid w:val="00D52A59"/>
    <w:rsid w:val="00D53061"/>
    <w:rsid w:val="00D5580E"/>
    <w:rsid w:val="00D57A26"/>
    <w:rsid w:val="00D6428E"/>
    <w:rsid w:val="00D64EF5"/>
    <w:rsid w:val="00D66769"/>
    <w:rsid w:val="00D72098"/>
    <w:rsid w:val="00D739A8"/>
    <w:rsid w:val="00D7595A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72116"/>
    <w:rsid w:val="00E726C4"/>
    <w:rsid w:val="00E82434"/>
    <w:rsid w:val="00E85829"/>
    <w:rsid w:val="00E90D8B"/>
    <w:rsid w:val="00E92DFC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176D"/>
    <w:rsid w:val="00F158C3"/>
    <w:rsid w:val="00F26C50"/>
    <w:rsid w:val="00F4243E"/>
    <w:rsid w:val="00F43B1D"/>
    <w:rsid w:val="00F46721"/>
    <w:rsid w:val="00F52D37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97922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7EB6-176B-453A-B753-9CD9062B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7234</Words>
  <Characters>4124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24</cp:revision>
  <cp:lastPrinted>2020-07-22T09:03:00Z</cp:lastPrinted>
  <dcterms:created xsi:type="dcterms:W3CDTF">2021-04-20T12:32:00Z</dcterms:created>
  <dcterms:modified xsi:type="dcterms:W3CDTF">2021-06-01T11:30:00Z</dcterms:modified>
</cp:coreProperties>
</file>