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AD" w:rsidRPr="00F60A15" w:rsidRDefault="004D53AD">
      <w:pPr>
        <w:rPr>
          <w:sz w:val="24"/>
          <w:szCs w:val="24"/>
        </w:rPr>
      </w:pPr>
    </w:p>
    <w:p w:rsidR="004D53AD" w:rsidRPr="00F60A15" w:rsidRDefault="00F60A15" w:rsidP="000A6CE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ОГОЛОШЕННЯ про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проведення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повторного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аукціону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із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зниженням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стартової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орендної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плати на 50%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передачі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нерухомого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майна в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Переліку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нерухомого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державного майна,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якого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прийнято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рішення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про передачу в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оренду</w:t>
      </w:r>
      <w:proofErr w:type="spellEnd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</w:t>
      </w:r>
      <w:proofErr w:type="spellStart"/>
      <w:r w:rsidRPr="00F60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аукціоні</w:t>
      </w:r>
      <w:proofErr w:type="spellEnd"/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390"/>
        <w:gridCol w:w="6095"/>
      </w:tblGrid>
      <w:tr w:rsidR="004D53AD" w:rsidRPr="000C71D2" w:rsidTr="00A64E86">
        <w:trPr>
          <w:trHeight w:val="255"/>
        </w:trPr>
        <w:tc>
          <w:tcPr>
            <w:tcW w:w="4390" w:type="dxa"/>
            <w:shd w:val="clear" w:color="auto" w:fill="BFBFBF" w:themeFill="background1" w:themeFillShade="BF"/>
            <w:hideMark/>
          </w:tcPr>
          <w:p w:rsidR="004D53AD" w:rsidRPr="000C71D2" w:rsidRDefault="008F2379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53AD"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люч </w:t>
            </w:r>
            <w:proofErr w:type="spellStart"/>
            <w:r w:rsidR="004D53AD"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5308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157C3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7C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Повторний аукціон із зниженням стартової орендної плати на 50%, оренди державного нерухомого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йна – групи інвентарних </w:t>
            </w:r>
            <w:r w:rsidR="002D21AC"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об’єктів вантажно-розвантажувальної дільниці: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 будівля (Щ1</w:t>
            </w:r>
            <w:r w:rsidR="00400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(вагова), загальною площею 78,4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будівля (Щ2) (службові приміщення), загальною площею 119,2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залізнична під’їзна колія</w:t>
            </w:r>
            <w:r w:rsidR="00400F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довжиною 1039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прожекторні щогли висотою 28 м – 2 шт.;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пожежний резервуар – 50  куб.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майданчик вантажопідйомний – 100×32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відкритий високий майданчик – 30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підвищена колія для вивантажування сипучих матеріалів – 45 м;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- вигрібна яма – 50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куб.м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2D21AC" w:rsidRPr="000C71D2" w:rsidRDefault="002D21AC" w:rsidP="002D21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 адресою: Вінницька обл.,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Піщанський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с.Попелюхи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Шевченка, 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ФДМУ  по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42964094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21018,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м.Вінниця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Гоголя, 10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Крижопільський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виправний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центр (№113)"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Код за ЄДРПОУ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14316862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A2024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24615, Вінницька область,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Крижопільський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с.Городківка</w:t>
            </w:r>
            <w:proofErr w:type="spellEnd"/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вул. Благовіщенська, 106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7562A5" w:rsidRPr="000C71D2" w:rsidRDefault="007562A5" w:rsidP="007562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група</w:t>
            </w: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інвентарних об’єктів вантажно-розвантажувальної дільниці: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будівля (Щ1</w:t>
            </w:r>
            <w:r w:rsidR="00400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(вагова), загальною площею 78,4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будівля (Щ2) (службові приміщення), загальною площею 119,2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3780B" w:rsidRPr="000C71D2" w:rsidRDefault="00400F45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залізнична під’їзна колія, </w:t>
            </w:r>
            <w:r w:rsidR="00C3780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довжиною 1039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прожекторні щогли висотою 28 м – 2 шт.;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пожежний резервуар – 50  куб.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майданчик вантажопідйомний – 100×32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відкритий високий майданчик – 30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підвищена колія для вивантажування сипучих матеріалів – 45 м;</w:t>
            </w:r>
          </w:p>
          <w:p w:rsidR="00C3780B" w:rsidRPr="000C71D2" w:rsidRDefault="00C3780B" w:rsidP="00C378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вигрібна яма – 50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куб.м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</w:t>
            </w:r>
            <w:proofErr w:type="spellStart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53AD"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13 120</w:t>
            </w:r>
            <w:r w:rsidR="00867DA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</w:t>
            </w:r>
            <w:r w:rsidR="00867DAB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Фотографічне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6095" w:type="dxa"/>
            <w:hideMark/>
          </w:tcPr>
          <w:p w:rsidR="0063062C" w:rsidRPr="000C71D2" w:rsidRDefault="00DB2B3B" w:rsidP="0063062C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hyperlink r:id="rId4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https://drive.google.com/open?id=1C2ZpgkWSbGezkd2L87d5_RfjtpjlOUcd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https://drive.google.com/open?id=1CgHI1_WBB60m1DD4y_pnlt5eJrU_jrko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https://drive.google.com/open?id=1rssKdGh2XGYluDRsLBA_w-yJ-lsaPmGe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https://drive.google.com/open?id=1sURpCMc3efMoPUp1J1Od603VHo78GsZN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https://drive.google.com/open?id=134K7i7C8zzmrDX5tLiHFHJsBrClsgzbw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https://drive.google.com/open?id=1CYdoUpVUx2mCSyMHqKtUfEiDVxZUCxbG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https://drive.google.com/open?id=10_BLkxrScQ7mKZlyeS90XeJdogwl4YAN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https://drive.google.com/open?id=14RHUoeAd5BNWEe8YsLNZrq8ovovMwL6C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https://drive.google.com/open?id=1txeYiDV0Y4oTjYY6UHprs3ym9ie4YJS7</w:t>
              </w:r>
            </w:hyperlink>
          </w:p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Місцезнаходження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обл., село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Попелюхи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вулиця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0A6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споруди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Поверховий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6095" w:type="dxa"/>
            <w:hideMark/>
          </w:tcPr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https://drive.google.com/open?id=1J-dDQmNK5EWTapZUUq5ICiajgxsOlQpL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https://drive.google.com/open?id=12eCjN1oK8CByyU-hLa9mOTpbBBostyot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https://drive.google.com/open?id=1Ycak8-nM1k_FJYYTFShgFx4HhNV_c5vf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https://drive.google.com/open?id=1brtpe1B_yDc3-OuLTOESlKY-y0APrayQ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https://drive.google.com/open?id=1znMeooaR0H1JzaDH0s55fx963VG6H23G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https://drive.google.com/open?id=1HpNEgocnRRh4mM2JYK2FTJQKWATRuakz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https://drive.google.com/open?id=1vOdifSPh83ePprKPuyyiTbRg1L6MX92k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https://drive.google.com/open?id=1RJwd6p5vd66ge4HBNk8a4U6b_KgOVFMG</w:t>
              </w:r>
            </w:hyperlink>
          </w:p>
          <w:p w:rsidR="0063062C" w:rsidRPr="000C71D2" w:rsidRDefault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062C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tgtFrame="_blank" w:history="1">
              <w:r w:rsidR="0063062C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https://drive.google.com/open?id=183wgp-bInAOY15ElgDq7rSXhZHg8xTV3</w:t>
              </w:r>
            </w:hyperlink>
          </w:p>
          <w:p w:rsidR="0063062C" w:rsidRPr="000C71D2" w:rsidRDefault="0063062C" w:rsidP="006306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26-окт-2020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включення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FE6D13" w:rsidRPr="000C71D2" w:rsidTr="00A64E86">
        <w:trPr>
          <w:trHeight w:val="510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0C71D2" w:rsidRDefault="00FE6D13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Технічний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FE6D13" w:rsidRPr="000C71D2" w:rsidRDefault="00FE6D13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ремонту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постачальниками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приєднаний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понад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50кВт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Водозабезпечення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Газифікація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централізоване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зовнішніх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мереж)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автономне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Лічильник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тепло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Вентиляція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Кондиціонування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телефонізація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телебачення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Телекомунікації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Ліфт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Охоронна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Пожежна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сигналізація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F60A15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</w:p>
          <w:p w:rsidR="00FE6D13" w:rsidRPr="00F60A15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4D53AD" w:rsidRPr="00F60A15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2 роки, 11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shd w:val="clear" w:color="auto" w:fill="auto"/>
            <w:hideMark/>
          </w:tcPr>
          <w:p w:rsidR="004D53AD" w:rsidRPr="00F60A15" w:rsidRDefault="00F60A15" w:rsidP="008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65 604,97</w:t>
            </w:r>
          </w:p>
        </w:tc>
      </w:tr>
      <w:tr w:rsidR="004D53AD" w:rsidRPr="000C71D2" w:rsidTr="00F60A15">
        <w:trPr>
          <w:trHeight w:val="510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4D53AD" w:rsidRPr="00F60A15" w:rsidRDefault="00F60A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32802,49</w:t>
            </w:r>
          </w:p>
        </w:tc>
      </w:tr>
      <w:tr w:rsidR="004D53AD" w:rsidRPr="000C71D2" w:rsidTr="00F60A15">
        <w:trPr>
          <w:trHeight w:val="765"/>
        </w:trPr>
        <w:tc>
          <w:tcPr>
            <w:tcW w:w="4390" w:type="dxa"/>
            <w:shd w:val="clear" w:color="auto" w:fill="auto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плата без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ПДВ – для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4D53AD" w:rsidRPr="00F60A15" w:rsidRDefault="00F6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32802,49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цільового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встановлені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60A15">
              <w:rPr>
                <w:rFonts w:ascii="Times New Roman" w:hAnsi="Times New Roman" w:cs="Times New Roman"/>
                <w:sz w:val="24"/>
                <w:szCs w:val="24"/>
              </w:rPr>
              <w:t xml:space="preserve"> до п. 29 Порядку</w:t>
            </w:r>
          </w:p>
        </w:tc>
        <w:tc>
          <w:tcPr>
            <w:tcW w:w="6095" w:type="dxa"/>
            <w:hideMark/>
          </w:tcPr>
          <w:p w:rsidR="004D53AD" w:rsidRPr="00F60A15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A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закладами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4D53AD" w:rsidRPr="000C71D2" w:rsidTr="00A64E86">
        <w:trPr>
          <w:trHeight w:val="153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будь-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крім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3 до Порядку).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цільових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затверджується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як одна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див.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абзаців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4-10 п. 54 Порядку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3AD" w:rsidRPr="000C71D2" w:rsidTr="00A64E86">
        <w:trPr>
          <w:trHeight w:val="983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п.169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Збройних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Сил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прикордонної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кримінально-виконавчої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фіскальних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академії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майна».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04340 2-41-49</w:t>
            </w:r>
          </w:p>
          <w:p w:rsidR="00FE6D13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Бурбеза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Михайлович</w:t>
            </w:r>
          </w:p>
          <w:p w:rsidR="00FE6D13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dukvc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_11</w:t>
            </w:r>
            <w:bookmarkStart w:id="0" w:name="_GoBack"/>
            <w:bookmarkEnd w:id="0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1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hideMark/>
          </w:tcPr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аукціон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його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</w:t>
            </w:r>
            <w:proofErr w:type="spellEnd"/>
          </w:p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noWrap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DB2B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13 серпня </w:t>
            </w:r>
            <w:r w:rsidR="00F60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B069D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2021</w:t>
            </w:r>
            <w:r w:rsidR="00165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року. Час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торговою системою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Порядку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аукціонів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867D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 w:rsidP="00DB2B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Кінцевий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строк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 на участь в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аукціоні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B2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 серпня </w:t>
            </w:r>
            <w:r w:rsidR="00F60A15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67DAB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</w:t>
            </w:r>
            <w:r w:rsidR="00867DAB"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року,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встановлюється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окремо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проміжку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часу з 19-30 до 20-30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години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дня,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передує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аукціону</w:t>
            </w:r>
            <w:proofErr w:type="spellEnd"/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мінімального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noWrap/>
            <w:hideMark/>
          </w:tcPr>
          <w:p w:rsidR="004D53AD" w:rsidRPr="000C71D2" w:rsidRDefault="00F6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656,05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A15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131209,94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9B63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906F24" w:rsidRPr="000C7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офіційного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орендарями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4D53AD" w:rsidRPr="000C71D2" w:rsidTr="00A64E86">
        <w:trPr>
          <w:trHeight w:val="2607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Регіональне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ФДМ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областях 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№ UA648201720355259001002156369 (для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реєстраційного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: ДКСУ  Код ЄДРПОУ 42964094</w:t>
            </w:r>
            <w:r w:rsidRPr="000C71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платежу: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аукціоном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20-35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про передачу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4D53AD" w:rsidRPr="000C71D2" w:rsidTr="00A64E86">
        <w:trPr>
          <w:trHeight w:val="102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Єдине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алфавітному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веб-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сторінки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і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уклав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FE6D13" w:rsidRPr="000C71D2" w:rsidTr="00A64E86">
        <w:trPr>
          <w:trHeight w:val="255"/>
        </w:trPr>
        <w:tc>
          <w:tcPr>
            <w:tcW w:w="10485" w:type="dxa"/>
            <w:gridSpan w:val="2"/>
            <w:shd w:val="clear" w:color="auto" w:fill="BFBFBF" w:themeFill="background1" w:themeFillShade="BF"/>
            <w:hideMark/>
          </w:tcPr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  <w:p w:rsidR="00FE6D13" w:rsidRPr="000C71D2" w:rsidRDefault="00FE6D13" w:rsidP="00FE6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Так</w:t>
            </w:r>
          </w:p>
        </w:tc>
      </w:tr>
      <w:tr w:rsidR="004D53AD" w:rsidRPr="000C71D2" w:rsidTr="00A64E86">
        <w:trPr>
          <w:trHeight w:val="25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компенсації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проведенням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незалежної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095" w:type="dxa"/>
            <w:hideMark/>
          </w:tcPr>
          <w:p w:rsidR="004D53AD" w:rsidRPr="000C71D2" w:rsidRDefault="00FE6D1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</w:t>
            </w:r>
            <w:r w:rsidR="00906F24" w:rsidRPr="000C71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майна, на яке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поширюються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до 29 п. Порядку, з метою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супутніх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забезпечені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самим закладом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D53AD" w:rsidRPr="000C71D2" w:rsidTr="00A64E86">
        <w:trPr>
          <w:trHeight w:val="765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сплату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будівля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споруда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до складу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входить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компенсувати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земельною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  <w:tr w:rsidR="004D53AD" w:rsidRPr="000C71D2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об'єкт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першого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типу, в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обсязі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визначеному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26 Порядку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міститься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посиланням</w:t>
            </w:r>
            <w:proofErr w:type="spellEnd"/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  <w:hideMark/>
          </w:tcPr>
          <w:p w:rsidR="004D53AD" w:rsidRPr="000C71D2" w:rsidRDefault="004D53AD" w:rsidP="004D5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53AD" w:rsidRPr="004D53AD" w:rsidTr="00A64E86">
        <w:trPr>
          <w:trHeight w:val="510"/>
        </w:trPr>
        <w:tc>
          <w:tcPr>
            <w:tcW w:w="4390" w:type="dxa"/>
            <w:hideMark/>
          </w:tcPr>
          <w:p w:rsidR="004D53AD" w:rsidRPr="000C71D2" w:rsidRDefault="00DB2B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anchor="gid=589654536" w:history="1">
              <w:r w:rsidR="004D53AD" w:rsidRPr="000C71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6095" w:type="dxa"/>
            <w:hideMark/>
          </w:tcPr>
          <w:p w:rsidR="004D53AD" w:rsidRPr="004D53AD" w:rsidRDefault="004D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  <w:proofErr w:type="spellStart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>об'єкта</w:t>
            </w:r>
            <w:proofErr w:type="spellEnd"/>
            <w:r w:rsidRPr="000C71D2">
              <w:rPr>
                <w:rFonts w:ascii="Times New Roman" w:hAnsi="Times New Roman" w:cs="Times New Roman"/>
                <w:sz w:val="24"/>
                <w:szCs w:val="24"/>
              </w:rPr>
              <w:t xml:space="preserve"> 5308</w:t>
            </w:r>
          </w:p>
        </w:tc>
      </w:tr>
    </w:tbl>
    <w:p w:rsidR="004D53AD" w:rsidRPr="004D53AD" w:rsidRDefault="004D53AD">
      <w:pPr>
        <w:rPr>
          <w:rFonts w:ascii="Times New Roman" w:hAnsi="Times New Roman" w:cs="Times New Roman"/>
          <w:sz w:val="24"/>
          <w:szCs w:val="24"/>
        </w:rPr>
      </w:pPr>
    </w:p>
    <w:sectPr w:rsidR="004D53AD" w:rsidRPr="004D53AD" w:rsidSect="00B85191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AD"/>
    <w:rsid w:val="000A6CE6"/>
    <w:rsid w:val="000C71D2"/>
    <w:rsid w:val="00157C3D"/>
    <w:rsid w:val="00165928"/>
    <w:rsid w:val="001B069D"/>
    <w:rsid w:val="002D21AC"/>
    <w:rsid w:val="00400F45"/>
    <w:rsid w:val="00455F6B"/>
    <w:rsid w:val="004D53AD"/>
    <w:rsid w:val="00585372"/>
    <w:rsid w:val="0063062C"/>
    <w:rsid w:val="007562A5"/>
    <w:rsid w:val="007D4F4C"/>
    <w:rsid w:val="00867DAB"/>
    <w:rsid w:val="008F2379"/>
    <w:rsid w:val="00906F24"/>
    <w:rsid w:val="009B639D"/>
    <w:rsid w:val="00A15286"/>
    <w:rsid w:val="00A20240"/>
    <w:rsid w:val="00A64E86"/>
    <w:rsid w:val="00B53C3D"/>
    <w:rsid w:val="00B85191"/>
    <w:rsid w:val="00C3780B"/>
    <w:rsid w:val="00DB2B3B"/>
    <w:rsid w:val="00F20453"/>
    <w:rsid w:val="00F60A15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5335"/>
  <w15:docId w15:val="{EBB2D6E8-886B-4F94-862D-0BE4E69E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3AD"/>
    <w:rPr>
      <w:color w:val="1155CC"/>
      <w:u w:val="single"/>
    </w:rPr>
  </w:style>
  <w:style w:type="table" w:styleId="a4">
    <w:name w:val="Table Grid"/>
    <w:basedOn w:val="a1"/>
    <w:uiPriority w:val="39"/>
    <w:rsid w:val="004D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3062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4K7i7C8zzmrDX5tLiHFHJsBrClsgzbw" TargetMode="External"/><Relationship Id="rId13" Type="http://schemas.openxmlformats.org/officeDocument/2006/relationships/hyperlink" Target="https://drive.google.com/open?id=1J-dDQmNK5EWTapZUUq5ICiajgxsOlQpL" TargetMode="External"/><Relationship Id="rId18" Type="http://schemas.openxmlformats.org/officeDocument/2006/relationships/hyperlink" Target="https://drive.google.com/open?id=1HpNEgocnRRh4mM2JYK2FTJQKWATRuak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83wgp-bInAOY15ElgDq7rSXhZHg8xTV3" TargetMode="External"/><Relationship Id="rId7" Type="http://schemas.openxmlformats.org/officeDocument/2006/relationships/hyperlink" Target="https://drive.google.com/open?id=1sURpCMc3efMoPUp1J1Od603VHo78GsZN" TargetMode="External"/><Relationship Id="rId12" Type="http://schemas.openxmlformats.org/officeDocument/2006/relationships/hyperlink" Target="https://drive.google.com/open?id=1txeYiDV0Y4oTjYY6UHprs3ym9ie4YJS7" TargetMode="External"/><Relationship Id="rId17" Type="http://schemas.openxmlformats.org/officeDocument/2006/relationships/hyperlink" Target="https://drive.google.com/open?id=1znMeooaR0H1JzaDH0s55fx963VG6H23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brtpe1B_yDc3-OuLTOESlKY-y0APrayQ" TargetMode="External"/><Relationship Id="rId20" Type="http://schemas.openxmlformats.org/officeDocument/2006/relationships/hyperlink" Target="https://drive.google.com/open?id=1RJwd6p5vd66ge4HBNk8a4U6b_KgOVFM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rssKdGh2XGYluDRsLBA_w-yJ-lsaPmGe" TargetMode="External"/><Relationship Id="rId11" Type="http://schemas.openxmlformats.org/officeDocument/2006/relationships/hyperlink" Target="https://drive.google.com/open?id=14RHUoeAd5BNWEe8YsLNZrq8ovovMwL6C" TargetMode="External"/><Relationship Id="rId24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drive.google.com/open?id=1CgHI1_WBB60m1DD4y_pnlt5eJrU_jrko" TargetMode="External"/><Relationship Id="rId15" Type="http://schemas.openxmlformats.org/officeDocument/2006/relationships/hyperlink" Target="https://drive.google.com/open?id=1Ycak8-nM1k_FJYYTFShgFx4HhNV_c5vf" TargetMode="External"/><Relationship Id="rId23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hyperlink" Target="https://drive.google.com/open?id=10_BLkxrScQ7mKZlyeS90XeJdogwl4YAN" TargetMode="External"/><Relationship Id="rId19" Type="http://schemas.openxmlformats.org/officeDocument/2006/relationships/hyperlink" Target="https://drive.google.com/open?id=1vOdifSPh83ePprKPuyyiTbRg1L6MX92k" TargetMode="External"/><Relationship Id="rId4" Type="http://schemas.openxmlformats.org/officeDocument/2006/relationships/hyperlink" Target="https://drive.google.com/open?id=1C2ZpgkWSbGezkd2L87d5_RfjtpjlOUcd" TargetMode="External"/><Relationship Id="rId9" Type="http://schemas.openxmlformats.org/officeDocument/2006/relationships/hyperlink" Target="https://drive.google.com/open?id=1CYdoUpVUx2mCSyMHqKtUfEiDVxZUCxbG" TargetMode="External"/><Relationship Id="rId14" Type="http://schemas.openxmlformats.org/officeDocument/2006/relationships/hyperlink" Target="https://drive.google.com/open?id=12eCjN1oK8CByyU-hLa9mOTpbBBostyot" TargetMode="External"/><Relationship Id="rId22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PC5</cp:lastModifiedBy>
  <cp:revision>3</cp:revision>
  <cp:lastPrinted>2021-04-28T08:31:00Z</cp:lastPrinted>
  <dcterms:created xsi:type="dcterms:W3CDTF">2021-07-23T08:43:00Z</dcterms:created>
  <dcterms:modified xsi:type="dcterms:W3CDTF">2021-07-23T08:45:00Z</dcterms:modified>
</cp:coreProperties>
</file>