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E005D5">
        <w:rPr>
          <w:sz w:val="22"/>
          <w:szCs w:val="22"/>
        </w:rPr>
        <w:t>1</w:t>
      </w:r>
      <w:r w:rsidR="000F4E22">
        <w:rPr>
          <w:sz w:val="22"/>
          <w:szCs w:val="22"/>
        </w:rPr>
        <w:t>9</w:t>
      </w:r>
      <w:r w:rsidR="00E005D5">
        <w:rPr>
          <w:sz w:val="22"/>
          <w:szCs w:val="22"/>
        </w:rPr>
        <w:t xml:space="preserve"> </w:t>
      </w:r>
      <w:r w:rsidR="00EB0CF8" w:rsidRPr="00AC74A9">
        <w:rPr>
          <w:sz w:val="22"/>
          <w:szCs w:val="22"/>
        </w:rPr>
        <w:t xml:space="preserve">від </w:t>
      </w:r>
      <w:r w:rsidR="00DC3DA5">
        <w:rPr>
          <w:sz w:val="22"/>
          <w:szCs w:val="22"/>
        </w:rPr>
        <w:t>2</w:t>
      </w:r>
      <w:r w:rsidR="000F4E22">
        <w:rPr>
          <w:sz w:val="22"/>
          <w:szCs w:val="22"/>
        </w:rPr>
        <w:t>6</w:t>
      </w:r>
      <w:r w:rsidR="00EB0CF8" w:rsidRPr="00AC74A9">
        <w:rPr>
          <w:sz w:val="22"/>
          <w:szCs w:val="22"/>
        </w:rPr>
        <w:t>.0</w:t>
      </w:r>
      <w:r w:rsidR="000F4E22">
        <w:rPr>
          <w:sz w:val="22"/>
          <w:szCs w:val="22"/>
        </w:rPr>
        <w:t>2</w:t>
      </w:r>
      <w:r w:rsidR="00EB0CF8" w:rsidRPr="00AC74A9">
        <w:rPr>
          <w:sz w:val="22"/>
          <w:szCs w:val="22"/>
        </w:rPr>
        <w:t>.20</w:t>
      </w:r>
      <w:r w:rsidR="007403D8">
        <w:rPr>
          <w:sz w:val="22"/>
          <w:szCs w:val="22"/>
        </w:rPr>
        <w:t>1</w:t>
      </w:r>
      <w:r w:rsidR="000F4E22">
        <w:rPr>
          <w:sz w:val="22"/>
          <w:szCs w:val="22"/>
        </w:rPr>
        <w:t>8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1343"/>
        <w:gridCol w:w="283"/>
        <w:gridCol w:w="425"/>
        <w:gridCol w:w="142"/>
        <w:gridCol w:w="1014"/>
        <w:gridCol w:w="147"/>
        <w:gridCol w:w="111"/>
        <w:gridCol w:w="1189"/>
        <w:gridCol w:w="233"/>
        <w:gridCol w:w="1094"/>
        <w:gridCol w:w="472"/>
        <w:gridCol w:w="345"/>
        <w:gridCol w:w="27"/>
        <w:gridCol w:w="246"/>
        <w:gridCol w:w="367"/>
        <w:gridCol w:w="142"/>
        <w:gridCol w:w="799"/>
        <w:gridCol w:w="193"/>
        <w:gridCol w:w="1249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DC3DA5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45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DC3DA5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79000 м.</w:t>
            </w:r>
            <w:r w:rsidR="00DC3DA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DC3DA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Січових Стрільців, 3</w:t>
            </w:r>
          </w:p>
        </w:tc>
        <w:tc>
          <w:tcPr>
            <w:tcW w:w="1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 w:rsidR="00DC3DA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новійович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9002B3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1A2385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1A2385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11EB9" w:rsidTr="005C3AC6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6F3FF5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Державне підприємство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>«Міжнародний аеропорт «Львів</w:t>
            </w:r>
            <w:r w:rsidR="00202907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імені Данила Галицького»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884" w:rsidRDefault="009B736B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33073442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9B736B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Аеропорт ЦА, </w:t>
            </w:r>
            <w:r w:rsidR="00F57E42">
              <w:rPr>
                <w:rFonts w:ascii="Times New Roman" w:hAnsi="Times New Roman"/>
                <w:color w:val="000000"/>
                <w:sz w:val="22"/>
                <w:szCs w:val="22"/>
              </w:rPr>
              <w:t>790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  <w:p w:rsidR="00811EB9" w:rsidRDefault="00F57E42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Любінс</w:t>
            </w:r>
            <w:r w:rsidR="006F3FF5">
              <w:rPr>
                <w:rFonts w:ascii="Times New Roman" w:hAnsi="Times New Roman"/>
                <w:color w:val="000000"/>
                <w:sz w:val="22"/>
                <w:szCs w:val="22"/>
              </w:rPr>
              <w:t>ька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9B736B">
              <w:rPr>
                <w:rFonts w:ascii="Times New Roman" w:hAnsi="Times New Roman"/>
                <w:color w:val="000000"/>
                <w:sz w:val="22"/>
                <w:szCs w:val="22"/>
              </w:rPr>
              <w:t>168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884" w:rsidRDefault="00CA01CC" w:rsidP="00BC421C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Романовська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Тетяна Василівна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CA01C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Генеральний д</w:t>
            </w:r>
            <w:r w:rsidR="00BC421C">
              <w:rPr>
                <w:rFonts w:ascii="Times New Roman" w:hAnsi="Times New Roman"/>
                <w:color w:val="000000"/>
                <w:sz w:val="22"/>
                <w:szCs w:val="22"/>
              </w:rPr>
              <w:t>ир</w:t>
            </w:r>
            <w:r w:rsidR="002B6CB4">
              <w:rPr>
                <w:rFonts w:ascii="Times New Roman" w:hAnsi="Times New Roman"/>
                <w:color w:val="000000"/>
                <w:sz w:val="22"/>
                <w:szCs w:val="22"/>
              </w:rPr>
              <w:t>ектор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BD319C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D319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</w:t>
            </w:r>
            <w:r w:rsidR="005F7275" w:rsidRPr="00BD319C">
              <w:rPr>
                <w:rFonts w:ascii="Times New Roman" w:hAnsi="Times New Roman"/>
                <w:color w:val="000000"/>
                <w:sz w:val="22"/>
                <w:szCs w:val="22"/>
              </w:rPr>
              <w:t>татут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74B07" w:rsidRDefault="00E95EB8" w:rsidP="00A74B07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office</w:t>
            </w:r>
            <w:hyperlink r:id="rId8" w:history="1">
              <w:r w:rsidR="00A74B07" w:rsidRPr="00A74B0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@</w:t>
              </w: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airport</w:t>
              </w:r>
              <w:r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.lviv</w:t>
              </w:r>
              <w:r w:rsidR="00A74B07" w:rsidRPr="00A74B07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F4E22" w:rsidRDefault="000F4E22" w:rsidP="00964AA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частина</w:t>
            </w:r>
            <w:r w:rsidRPr="000F4E22">
              <w:rPr>
                <w:rFonts w:ascii="Times New Roman" w:hAnsi="Times New Roman"/>
                <w:sz w:val="22"/>
                <w:szCs w:val="22"/>
              </w:rPr>
              <w:t xml:space="preserve"> нежитлового вбудованого приміщення</w:t>
            </w:r>
            <w:r w:rsidRPr="000F4E22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загальною площею 23,0 </w:t>
            </w:r>
            <w:proofErr w:type="spellStart"/>
            <w:r w:rsidRPr="000F4E22">
              <w:rPr>
                <w:rStyle w:val="a6"/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0F4E22">
              <w:rPr>
                <w:rStyle w:val="a6"/>
                <w:rFonts w:ascii="Times New Roman" w:hAnsi="Times New Roman"/>
                <w:sz w:val="22"/>
                <w:szCs w:val="22"/>
              </w:rPr>
              <w:t xml:space="preserve">. яке розташоване на першому поверсі будівлі літ. Б-3 – новий аеровокзал за адресою: м. Львів, вул. Любінська, 168, що перебуває на балансі </w:t>
            </w:r>
            <w:proofErr w:type="spellStart"/>
            <w:r w:rsidRPr="000F4E22">
              <w:rPr>
                <w:rFonts w:ascii="Times New Roman" w:hAnsi="Times New Roman"/>
                <w:sz w:val="22"/>
                <w:szCs w:val="22"/>
              </w:rPr>
              <w:t>ДП</w:t>
            </w:r>
            <w:proofErr w:type="spellEnd"/>
            <w:r w:rsidRPr="000F4E22">
              <w:rPr>
                <w:rFonts w:ascii="Times New Roman" w:hAnsi="Times New Roman"/>
                <w:sz w:val="22"/>
                <w:szCs w:val="22"/>
              </w:rPr>
              <w:t xml:space="preserve"> "Міжнародний аеропорт "Львів" імені Данила Галицького"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Pr="001F75AD" w:rsidRDefault="00811EB9" w:rsidP="001F75AD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 оренду державного і комунального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(Відомості Верховної Ради України,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DC3DA5" w:rsidP="000F4E2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  <w:r w:rsidR="000F4E22">
              <w:rPr>
                <w:rFonts w:ascii="Times New Roman" w:hAnsi="Times New Roman"/>
                <w:color w:val="000000"/>
                <w:sz w:val="22"/>
                <w:szCs w:val="22"/>
              </w:rPr>
              <w:t>00</w:t>
            </w:r>
            <w:r w:rsidR="00B91EF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F4E22">
              <w:rPr>
                <w:rFonts w:ascii="Times New Roman" w:hAnsi="Times New Roman"/>
                <w:color w:val="000000"/>
                <w:sz w:val="22"/>
                <w:szCs w:val="22"/>
              </w:rPr>
              <w:t>000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>вісім</w:t>
            </w:r>
            <w:r w:rsidR="000F4E22">
              <w:rPr>
                <w:rFonts w:ascii="Times New Roman" w:hAnsi="Times New Roman"/>
                <w:color w:val="000000"/>
                <w:sz w:val="22"/>
                <w:szCs w:val="22"/>
              </w:rPr>
              <w:t>сот</w:t>
            </w:r>
            <w:r w:rsidR="00BF0B5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тисяч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397" w:rsidRPr="0020564F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>Суб</w:t>
            </w:r>
            <w:r w:rsidR="007A7C32"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  <w:r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єкт оціночної діяльності </w:t>
            </w:r>
          </w:p>
          <w:p w:rsidR="00811EB9" w:rsidRPr="00173104" w:rsidRDefault="00F94276" w:rsidP="000F4E2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Товариство з обмеженою відповідальністю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="000F4E2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Гал-Світ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0F4E2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F942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F4E2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жо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</w:t>
            </w:r>
            <w:r w:rsidR="000F4E2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1F15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1F15C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грудня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6.1.2</w:t>
            </w: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7257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7A4">
              <w:rPr>
                <w:rFonts w:ascii="Times New Roman" w:hAnsi="Times New Roman"/>
                <w:color w:val="000000"/>
                <w:sz w:val="22"/>
                <w:szCs w:val="22"/>
              </w:rPr>
              <w:t>грудня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7257A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7257A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="00192D0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257A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7257A4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800 000,00 грн.(вісімсот тисяч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1AA7" w:rsidRDefault="00DE1AA7" w:rsidP="00DE1AA7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Майно може бути використане Орендарем за будь-яким цільовим призначенням на розсуд Орендаря*</w:t>
            </w:r>
          </w:p>
          <w:p w:rsidR="00EB0CF8" w:rsidRDefault="00EB0CF8" w:rsidP="00192D05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DB42FC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FC" w:rsidRDefault="00DB42FC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DB42FC" w:rsidRDefault="00DB42FC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2FC" w:rsidRDefault="00DB42FC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2FC" w:rsidRPr="00DB42FC" w:rsidRDefault="00DB42FC" w:rsidP="00DB42FC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2FC" w:rsidRPr="00DB42FC" w:rsidRDefault="00DB42FC" w:rsidP="00695948">
            <w:pPr>
              <w:pStyle w:val="a7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AC4703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34BD1" w:rsidTr="00AC4703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4BD1" w:rsidRDefault="00B34BD1" w:rsidP="00AC4703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B34BD1" w:rsidRDefault="00B34BD1" w:rsidP="00AC4703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B34BD1" w:rsidRDefault="00B34BD1" w:rsidP="00AC4703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C4703" w:rsidRDefault="00AC4703" w:rsidP="00AC4703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C4703" w:rsidRDefault="00AC4703" w:rsidP="00AC4703">
            <w:pPr>
              <w:pBdr>
                <w:bottom w:val="single" w:sz="4" w:space="1" w:color="auto"/>
              </w:pBd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C4703" w:rsidRDefault="00AC4703" w:rsidP="00D67EBC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AC4703" w:rsidRDefault="00AC4703" w:rsidP="00D67EBC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</w:p>
          <w:p w:rsidR="00AC4703" w:rsidRDefault="00AC4703" w:rsidP="00D67EBC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4BD1" w:rsidRDefault="00B34BD1" w:rsidP="00AC4703">
            <w:pPr>
              <w:pBdr>
                <w:bottom w:val="single" w:sz="4" w:space="1" w:color="auto"/>
              </w:pBd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  <w:p w:rsidR="00AC4703" w:rsidRDefault="00AC4703" w:rsidP="00AC470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AC4703" w:rsidRDefault="00AC4703" w:rsidP="00AC470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34BD1" w:rsidRPr="00F55DD2" w:rsidRDefault="00B34BD1" w:rsidP="00D67EBC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AC4703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2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B34BD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B34BD1">
              <w:rPr>
                <w:rFonts w:ascii="Times New Roman" w:hAnsi="Times New Roman"/>
                <w:color w:val="000000"/>
                <w:sz w:val="22"/>
                <w:szCs w:val="22"/>
              </w:rPr>
              <w:t>5 років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DC014C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628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DB42FC" w:rsidTr="00DC014C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2FC" w:rsidRPr="00C41C4B" w:rsidRDefault="00DB42FC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209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2FC" w:rsidRPr="00C41C4B" w:rsidRDefault="00DB42FC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762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2FC" w:rsidRPr="00DB42FC" w:rsidRDefault="00DB42FC" w:rsidP="00A507E2">
            <w:pPr>
              <w:pStyle w:val="a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42FC">
              <w:rPr>
                <w:rFonts w:ascii="Times New Roman" w:hAnsi="Times New Roman"/>
                <w:sz w:val="22"/>
                <w:szCs w:val="22"/>
              </w:rPr>
              <w:t xml:space="preserve">Забезпечити рівень стану авіаційної безпеки згідно вимог розділу </w:t>
            </w:r>
            <w:r w:rsidRPr="00DB42FC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Pr="00DB42FC">
              <w:rPr>
                <w:rFonts w:ascii="Times New Roman" w:hAnsi="Times New Roman"/>
                <w:sz w:val="22"/>
                <w:szCs w:val="22"/>
              </w:rPr>
              <w:t xml:space="preserve"> Закону України </w:t>
            </w:r>
            <w:proofErr w:type="spellStart"/>
            <w:r w:rsidRPr="00DB42FC">
              <w:rPr>
                <w:rFonts w:ascii="Times New Roman" w:hAnsi="Times New Roman"/>
                <w:sz w:val="22"/>
                <w:szCs w:val="22"/>
              </w:rPr>
              <w:t>України</w:t>
            </w:r>
            <w:proofErr w:type="spellEnd"/>
            <w:r w:rsidRPr="00DB42FC">
              <w:rPr>
                <w:rFonts w:ascii="Times New Roman" w:hAnsi="Times New Roman"/>
                <w:sz w:val="22"/>
                <w:szCs w:val="22"/>
              </w:rPr>
              <w:t xml:space="preserve"> «Про Державну програму авіаційної безпеки цивільної авіації»</w:t>
            </w:r>
            <w:r w:rsidRPr="00DB42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DB42F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від 21 березня 2017 року № 1965-VIII, Правил охорони повітряних суден та інших важливих об'єктів цивільної авіації, забезпечення контролю доступу до них" затверджених наказом Державної авіаційної служби України  №1017 від 07.08.2019 року та документів щодо дотримання заходів авіаційної безпеки розроблених в аеропорту.</w:t>
            </w:r>
          </w:p>
        </w:tc>
      </w:tr>
      <w:tr w:rsidR="00DB42FC" w:rsidTr="00DC014C">
        <w:trPr>
          <w:gridAfter w:val="2"/>
          <w:wAfter w:w="13280" w:type="dxa"/>
          <w:trHeight w:val="2643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FC" w:rsidRPr="00C41C4B" w:rsidRDefault="00DB42FC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0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2FC" w:rsidRPr="00C41C4B" w:rsidRDefault="00DB42FC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62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B42FC" w:rsidRPr="00DB42FC" w:rsidRDefault="00DB42FC" w:rsidP="00DB42FC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DB42FC">
              <w:rPr>
                <w:rFonts w:ascii="Times New Roman" w:hAnsi="Times New Roman"/>
                <w:sz w:val="22"/>
                <w:szCs w:val="22"/>
              </w:rPr>
              <w:t xml:space="preserve">розробити Програму (орендарі – суб’єкти наземного обслуговування) або інструкцію з авіаційної безпеки (інші орендарі) згідно вимог п.27 розділу </w:t>
            </w:r>
            <w:r w:rsidRPr="00DB42FC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DB42FC">
              <w:rPr>
                <w:rFonts w:ascii="Times New Roman" w:hAnsi="Times New Roman"/>
                <w:sz w:val="22"/>
                <w:szCs w:val="22"/>
              </w:rPr>
              <w:t xml:space="preserve"> Закону України «Про Державну програму авіаційної безпеки цивільної авіації»</w:t>
            </w:r>
            <w:r w:rsidRPr="00DB42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DB42F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>від 21 березня 2017 року № 1965-VIII  та розділу ХХІІІ «Інструкції з організації та здійснення контролю на безпеку в аеропортах України» затвердженої наказом №322 від 15.03.2019 року.</w:t>
            </w:r>
          </w:p>
          <w:p w:rsidR="00DB42FC" w:rsidRPr="00DB42FC" w:rsidRDefault="00DB42FC" w:rsidP="00DB42FC">
            <w:pPr>
              <w:pStyle w:val="a7"/>
              <w:ind w:firstLine="709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</w:pPr>
            <w:r w:rsidRPr="00DB42F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Перед видачею перепустки, пройти перевірку та надати аеропорту їх результати згідно вимог розділу </w:t>
            </w:r>
            <w:r w:rsidRPr="00DB42FC">
              <w:rPr>
                <w:rFonts w:ascii="Times New Roman" w:hAnsi="Times New Roman"/>
                <w:color w:val="000000"/>
                <w:sz w:val="22"/>
                <w:szCs w:val="22"/>
                <w:lang w:val="en-US" w:eastAsia="uk-UA"/>
              </w:rPr>
              <w:t>V</w:t>
            </w:r>
            <w:r w:rsidRPr="00DB42F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 п.16 </w:t>
            </w:r>
            <w:r w:rsidRPr="00DB42FC">
              <w:rPr>
                <w:rFonts w:ascii="Times New Roman" w:hAnsi="Times New Roman"/>
                <w:sz w:val="22"/>
                <w:szCs w:val="22"/>
              </w:rPr>
              <w:t>Закону України «Про Державну програму авіаційної безпеки цивільної авіації»</w:t>
            </w:r>
            <w:r w:rsidRPr="00DB42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DB42FC">
              <w:rPr>
                <w:rFonts w:ascii="Times New Roman" w:hAnsi="Times New Roman"/>
                <w:color w:val="000000"/>
                <w:sz w:val="22"/>
                <w:szCs w:val="22"/>
                <w:lang w:eastAsia="uk-UA"/>
              </w:rPr>
              <w:t xml:space="preserve">від 21 березня 2017 року №1965-VIII, а також розділу </w:t>
            </w:r>
            <w:r w:rsidRPr="00DB42FC">
              <w:rPr>
                <w:rFonts w:ascii="Times New Roman" w:hAnsi="Times New Roman"/>
                <w:sz w:val="22"/>
                <w:szCs w:val="22"/>
              </w:rPr>
              <w:t xml:space="preserve">7 п.10 </w:t>
            </w:r>
            <w:bookmarkStart w:id="0" w:name="_Hlk56507148"/>
            <w:r w:rsidRPr="00DB42FC">
              <w:rPr>
                <w:rFonts w:ascii="Times New Roman" w:hAnsi="Times New Roman"/>
                <w:sz w:val="22"/>
                <w:szCs w:val="22"/>
              </w:rPr>
              <w:t>"Правила охорони повітряних суден та інших важливих об'єктів цивільної авіації, забезпечення контролю доступу до них" затверджених наказом Державної авіаційної служби України  №1017 від 07.08.2019 року.</w:t>
            </w:r>
            <w:bookmarkEnd w:id="0"/>
          </w:p>
        </w:tc>
      </w:tr>
      <w:tr w:rsidR="00EB0CF8" w:rsidTr="00DC014C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9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DC014C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20564F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/р </w:t>
            </w:r>
            <w:r w:rsidRPr="00B344C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="00176CD2"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="0030781B"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>43257960000002600130732418</w:t>
            </w:r>
            <w:r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</w:t>
            </w:r>
            <w:r w:rsidR="0030781B"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>філії ЛОУ АТ «Ощад</w:t>
            </w:r>
            <w:r w:rsidR="00F426DC"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>банк»</w:t>
            </w:r>
            <w:r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ЄДРПОУ </w:t>
            </w:r>
            <w:r w:rsidR="0030781B" w:rsidRPr="0020564F">
              <w:rPr>
                <w:rFonts w:ascii="Times New Roman" w:hAnsi="Times New Roman"/>
                <w:color w:val="000000"/>
                <w:sz w:val="22"/>
                <w:szCs w:val="22"/>
              </w:rPr>
              <w:t>33073442</w:t>
            </w:r>
          </w:p>
          <w:p w:rsidR="00EB0CF8" w:rsidRPr="0020564F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20564F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695948" w:rsidRDefault="00EB0CF8" w:rsidP="0069594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Одержувач: ГУК Львів/</w:t>
            </w:r>
            <w:r w:rsidR="006959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Львівська </w:t>
            </w:r>
            <w:proofErr w:type="spellStart"/>
            <w:r w:rsidR="00695948">
              <w:rPr>
                <w:rFonts w:ascii="Times New Roman" w:hAnsi="Times New Roman"/>
                <w:color w:val="000000"/>
                <w:sz w:val="22"/>
                <w:szCs w:val="22"/>
              </w:rPr>
              <w:t>тг</w:t>
            </w:r>
            <w:proofErr w:type="spellEnd"/>
            <w:r w:rsidR="006959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/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</w:t>
            </w:r>
            <w:r w:rsidR="00780C5B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00, код отримувача (ЄДРПОУ):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 w:rsidR="006959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UA528999980313030094000013933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695948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69594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DC014C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0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46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D215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4204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AD215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</w:t>
            </w:r>
            <w:r w:rsidR="00F420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7</w:t>
            </w:r>
            <w:r w:rsidR="00AD215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11EB9" w:rsidRDefault="00811EB9" w:rsidP="00695948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</w:t>
      </w:r>
      <w:r w:rsidRPr="00FD2249">
        <w:rPr>
          <w:rFonts w:ascii="Times New Roman" w:hAnsi="Times New Roman"/>
          <w:sz w:val="22"/>
          <w:szCs w:val="22"/>
        </w:rPr>
        <w:lastRenderedPageBreak/>
        <w:t>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1" w:name="_heading=h.1fob9te"/>
      <w:bookmarkEnd w:id="1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014C">
              <w:rPr>
                <w:rFonts w:ascii="Times New Roman" w:hAnsi="Times New Roman"/>
                <w:sz w:val="22"/>
                <w:szCs w:val="22"/>
              </w:rPr>
              <w:t>Віктор ВІГАНТ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C014C">
              <w:rPr>
                <w:rFonts w:ascii="Times New Roman" w:hAnsi="Times New Roman"/>
                <w:sz w:val="22"/>
                <w:szCs w:val="22"/>
              </w:rPr>
              <w:t xml:space="preserve">Тетяна </w:t>
            </w:r>
            <w:proofErr w:type="spellStart"/>
            <w:r w:rsidR="00DC014C">
              <w:rPr>
                <w:rFonts w:ascii="Times New Roman" w:hAnsi="Times New Roman"/>
                <w:sz w:val="22"/>
                <w:szCs w:val="22"/>
              </w:rPr>
              <w:t>Романовська</w:t>
            </w:r>
            <w:proofErr w:type="spellEnd"/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EF" w:rsidRDefault="004A64EF" w:rsidP="0029676C">
      <w:r>
        <w:separator/>
      </w:r>
    </w:p>
  </w:endnote>
  <w:endnote w:type="continuationSeparator" w:id="0">
    <w:p w:rsidR="004A64EF" w:rsidRDefault="004A64EF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EF" w:rsidRDefault="004A64EF" w:rsidP="0029676C">
      <w:r>
        <w:separator/>
      </w:r>
    </w:p>
  </w:footnote>
  <w:footnote w:type="continuationSeparator" w:id="0">
    <w:p w:rsidR="004A64EF" w:rsidRDefault="004A64EF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9002B3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9002B3">
    <w:pPr>
      <w:framePr w:wrap="around" w:vAnchor="text" w:hAnchor="margin" w:xAlign="center" w:y="1"/>
    </w:pPr>
    <w:fldSimple w:instr="PAGE  ">
      <w:r w:rsidR="008F0F3C">
        <w:rPr>
          <w:noProof/>
        </w:rPr>
        <w:t>5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0DC"/>
    <w:rsid w:val="00043092"/>
    <w:rsid w:val="000838C6"/>
    <w:rsid w:val="00090345"/>
    <w:rsid w:val="000B7FF7"/>
    <w:rsid w:val="000C3AE7"/>
    <w:rsid w:val="000C416B"/>
    <w:rsid w:val="000E71DF"/>
    <w:rsid w:val="000F4E22"/>
    <w:rsid w:val="001162EB"/>
    <w:rsid w:val="00122884"/>
    <w:rsid w:val="00124FE4"/>
    <w:rsid w:val="00142F4D"/>
    <w:rsid w:val="0016115F"/>
    <w:rsid w:val="00173104"/>
    <w:rsid w:val="00175F59"/>
    <w:rsid w:val="00176CD2"/>
    <w:rsid w:val="00180A43"/>
    <w:rsid w:val="00192D05"/>
    <w:rsid w:val="00193AEC"/>
    <w:rsid w:val="001A2385"/>
    <w:rsid w:val="001A5188"/>
    <w:rsid w:val="001A55B1"/>
    <w:rsid w:val="001C6E8B"/>
    <w:rsid w:val="001D36C4"/>
    <w:rsid w:val="001E1282"/>
    <w:rsid w:val="001E5FC1"/>
    <w:rsid w:val="001F15C5"/>
    <w:rsid w:val="001F6356"/>
    <w:rsid w:val="001F75AD"/>
    <w:rsid w:val="00202907"/>
    <w:rsid w:val="00204B11"/>
    <w:rsid w:val="0020564F"/>
    <w:rsid w:val="002056DF"/>
    <w:rsid w:val="002077C3"/>
    <w:rsid w:val="00207C53"/>
    <w:rsid w:val="00212F0F"/>
    <w:rsid w:val="0023340B"/>
    <w:rsid w:val="0024214F"/>
    <w:rsid w:val="00290A85"/>
    <w:rsid w:val="00291C0B"/>
    <w:rsid w:val="0029676C"/>
    <w:rsid w:val="002B6CB4"/>
    <w:rsid w:val="002C1E21"/>
    <w:rsid w:val="002D7123"/>
    <w:rsid w:val="002F5F02"/>
    <w:rsid w:val="002F7B1F"/>
    <w:rsid w:val="00301718"/>
    <w:rsid w:val="003026CB"/>
    <w:rsid w:val="00302E09"/>
    <w:rsid w:val="0030650F"/>
    <w:rsid w:val="0030781B"/>
    <w:rsid w:val="0031102D"/>
    <w:rsid w:val="00311761"/>
    <w:rsid w:val="00326BB0"/>
    <w:rsid w:val="00384F05"/>
    <w:rsid w:val="003929E7"/>
    <w:rsid w:val="003A481C"/>
    <w:rsid w:val="003A5CCF"/>
    <w:rsid w:val="003A7994"/>
    <w:rsid w:val="003F148B"/>
    <w:rsid w:val="0040386A"/>
    <w:rsid w:val="00405E47"/>
    <w:rsid w:val="00423CCF"/>
    <w:rsid w:val="004254DA"/>
    <w:rsid w:val="00435652"/>
    <w:rsid w:val="00444619"/>
    <w:rsid w:val="00462FC4"/>
    <w:rsid w:val="004743C7"/>
    <w:rsid w:val="00494F79"/>
    <w:rsid w:val="00495A3E"/>
    <w:rsid w:val="004A64EF"/>
    <w:rsid w:val="004B1555"/>
    <w:rsid w:val="004C23D7"/>
    <w:rsid w:val="004C2DE3"/>
    <w:rsid w:val="004C557A"/>
    <w:rsid w:val="004C737A"/>
    <w:rsid w:val="004F1E7A"/>
    <w:rsid w:val="004F2C98"/>
    <w:rsid w:val="005005B5"/>
    <w:rsid w:val="00533D24"/>
    <w:rsid w:val="005569C8"/>
    <w:rsid w:val="00557F95"/>
    <w:rsid w:val="005803D6"/>
    <w:rsid w:val="0059366B"/>
    <w:rsid w:val="00597E19"/>
    <w:rsid w:val="005C2A06"/>
    <w:rsid w:val="005C3AC6"/>
    <w:rsid w:val="005C4CBE"/>
    <w:rsid w:val="005E1E80"/>
    <w:rsid w:val="005E5CC7"/>
    <w:rsid w:val="005F326E"/>
    <w:rsid w:val="005F7275"/>
    <w:rsid w:val="00625C5B"/>
    <w:rsid w:val="00636144"/>
    <w:rsid w:val="006510E8"/>
    <w:rsid w:val="0068288D"/>
    <w:rsid w:val="00684256"/>
    <w:rsid w:val="00692292"/>
    <w:rsid w:val="00695948"/>
    <w:rsid w:val="00696CF0"/>
    <w:rsid w:val="006A6133"/>
    <w:rsid w:val="006C4D5A"/>
    <w:rsid w:val="006C7DC1"/>
    <w:rsid w:val="006D6E2E"/>
    <w:rsid w:val="006F3FF5"/>
    <w:rsid w:val="006F422C"/>
    <w:rsid w:val="00716EC1"/>
    <w:rsid w:val="007257A4"/>
    <w:rsid w:val="007403D8"/>
    <w:rsid w:val="00746F77"/>
    <w:rsid w:val="0076654A"/>
    <w:rsid w:val="007804D8"/>
    <w:rsid w:val="00780C5B"/>
    <w:rsid w:val="007A20C5"/>
    <w:rsid w:val="007A709E"/>
    <w:rsid w:val="007A7C32"/>
    <w:rsid w:val="007C523B"/>
    <w:rsid w:val="007D3124"/>
    <w:rsid w:val="008022FD"/>
    <w:rsid w:val="00806397"/>
    <w:rsid w:val="00811EB9"/>
    <w:rsid w:val="008255AB"/>
    <w:rsid w:val="008361AD"/>
    <w:rsid w:val="00844366"/>
    <w:rsid w:val="00846945"/>
    <w:rsid w:val="0087506C"/>
    <w:rsid w:val="008771F5"/>
    <w:rsid w:val="00884B71"/>
    <w:rsid w:val="00886768"/>
    <w:rsid w:val="008B6B87"/>
    <w:rsid w:val="008C33F8"/>
    <w:rsid w:val="008E2DFD"/>
    <w:rsid w:val="008F02B2"/>
    <w:rsid w:val="008F0F3C"/>
    <w:rsid w:val="008F13A5"/>
    <w:rsid w:val="009002B3"/>
    <w:rsid w:val="009076E3"/>
    <w:rsid w:val="009269D2"/>
    <w:rsid w:val="009273A2"/>
    <w:rsid w:val="00933FCA"/>
    <w:rsid w:val="0093428F"/>
    <w:rsid w:val="00942949"/>
    <w:rsid w:val="00964AA8"/>
    <w:rsid w:val="0099102E"/>
    <w:rsid w:val="00992606"/>
    <w:rsid w:val="009936B9"/>
    <w:rsid w:val="009A0D32"/>
    <w:rsid w:val="009A770A"/>
    <w:rsid w:val="009B300F"/>
    <w:rsid w:val="009B736B"/>
    <w:rsid w:val="009C2073"/>
    <w:rsid w:val="009D6F70"/>
    <w:rsid w:val="00A00E4A"/>
    <w:rsid w:val="00A13FF6"/>
    <w:rsid w:val="00A21B2E"/>
    <w:rsid w:val="00A31C5C"/>
    <w:rsid w:val="00A35249"/>
    <w:rsid w:val="00A56C52"/>
    <w:rsid w:val="00A63F0F"/>
    <w:rsid w:val="00A74B07"/>
    <w:rsid w:val="00A84919"/>
    <w:rsid w:val="00A91A01"/>
    <w:rsid w:val="00AC4703"/>
    <w:rsid w:val="00AD2157"/>
    <w:rsid w:val="00AD7118"/>
    <w:rsid w:val="00B00203"/>
    <w:rsid w:val="00B006A8"/>
    <w:rsid w:val="00B33B56"/>
    <w:rsid w:val="00B344CA"/>
    <w:rsid w:val="00B34BD1"/>
    <w:rsid w:val="00B41F0A"/>
    <w:rsid w:val="00B606FD"/>
    <w:rsid w:val="00B650F9"/>
    <w:rsid w:val="00B81815"/>
    <w:rsid w:val="00B81ED3"/>
    <w:rsid w:val="00B83E18"/>
    <w:rsid w:val="00B87BE4"/>
    <w:rsid w:val="00B91EF3"/>
    <w:rsid w:val="00BB317A"/>
    <w:rsid w:val="00BB41C7"/>
    <w:rsid w:val="00BB5088"/>
    <w:rsid w:val="00BC421C"/>
    <w:rsid w:val="00BD1DC6"/>
    <w:rsid w:val="00BD319C"/>
    <w:rsid w:val="00BF0B50"/>
    <w:rsid w:val="00BF5C7B"/>
    <w:rsid w:val="00C010D8"/>
    <w:rsid w:val="00C05428"/>
    <w:rsid w:val="00C11AE5"/>
    <w:rsid w:val="00C41C4B"/>
    <w:rsid w:val="00C44455"/>
    <w:rsid w:val="00C45155"/>
    <w:rsid w:val="00C45AB6"/>
    <w:rsid w:val="00C6064F"/>
    <w:rsid w:val="00C805B0"/>
    <w:rsid w:val="00CA01CC"/>
    <w:rsid w:val="00CA0D60"/>
    <w:rsid w:val="00CD4451"/>
    <w:rsid w:val="00CE685D"/>
    <w:rsid w:val="00CF67EF"/>
    <w:rsid w:val="00D34E2B"/>
    <w:rsid w:val="00D3652D"/>
    <w:rsid w:val="00D36B0C"/>
    <w:rsid w:val="00D42B6D"/>
    <w:rsid w:val="00D64336"/>
    <w:rsid w:val="00D65251"/>
    <w:rsid w:val="00D65434"/>
    <w:rsid w:val="00D761F8"/>
    <w:rsid w:val="00D80D64"/>
    <w:rsid w:val="00D915D0"/>
    <w:rsid w:val="00D9289B"/>
    <w:rsid w:val="00D935A2"/>
    <w:rsid w:val="00D939A4"/>
    <w:rsid w:val="00DA2A2C"/>
    <w:rsid w:val="00DA3664"/>
    <w:rsid w:val="00DB4212"/>
    <w:rsid w:val="00DB42FC"/>
    <w:rsid w:val="00DC014C"/>
    <w:rsid w:val="00DC19E1"/>
    <w:rsid w:val="00DC2B70"/>
    <w:rsid w:val="00DC3DA5"/>
    <w:rsid w:val="00DD0457"/>
    <w:rsid w:val="00DD13A1"/>
    <w:rsid w:val="00DE1AA7"/>
    <w:rsid w:val="00E005D5"/>
    <w:rsid w:val="00E02ED2"/>
    <w:rsid w:val="00E10583"/>
    <w:rsid w:val="00E25D5C"/>
    <w:rsid w:val="00E41677"/>
    <w:rsid w:val="00E52486"/>
    <w:rsid w:val="00E64808"/>
    <w:rsid w:val="00E8715D"/>
    <w:rsid w:val="00E95EB8"/>
    <w:rsid w:val="00EA344F"/>
    <w:rsid w:val="00EB0CF8"/>
    <w:rsid w:val="00EC2F69"/>
    <w:rsid w:val="00EC615A"/>
    <w:rsid w:val="00ED2DFC"/>
    <w:rsid w:val="00ED7634"/>
    <w:rsid w:val="00EE1D44"/>
    <w:rsid w:val="00EF1471"/>
    <w:rsid w:val="00F07F69"/>
    <w:rsid w:val="00F16C9F"/>
    <w:rsid w:val="00F4204C"/>
    <w:rsid w:val="00F426DC"/>
    <w:rsid w:val="00F53FFB"/>
    <w:rsid w:val="00F54FFE"/>
    <w:rsid w:val="00F55DD2"/>
    <w:rsid w:val="00F57E42"/>
    <w:rsid w:val="00F94276"/>
    <w:rsid w:val="00F95F16"/>
    <w:rsid w:val="00F962A9"/>
    <w:rsid w:val="00FA3264"/>
    <w:rsid w:val="00FA33C9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DC3DA5"/>
    <w:rPr>
      <w:rFonts w:ascii="Courier New" w:hAnsi="Courier New"/>
      <w:sz w:val="20"/>
    </w:rPr>
  </w:style>
  <w:style w:type="paragraph" w:styleId="a7">
    <w:name w:val="No Spacing"/>
    <w:uiPriority w:val="1"/>
    <w:qFormat/>
    <w:rsid w:val="001F75AD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kt@ktk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502CD-EAA3-47C3-9CBA-2507CE07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16</Pages>
  <Words>30852</Words>
  <Characters>17587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44</cp:lastModifiedBy>
  <cp:revision>21</cp:revision>
  <cp:lastPrinted>2020-10-29T13:04:00Z</cp:lastPrinted>
  <dcterms:created xsi:type="dcterms:W3CDTF">2020-10-29T21:48:00Z</dcterms:created>
  <dcterms:modified xsi:type="dcterms:W3CDTF">2021-01-20T09:34:00Z</dcterms:modified>
</cp:coreProperties>
</file>