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79" w:rsidRDefault="00DD6436">
      <w:pPr>
        <w:pStyle w:val="10"/>
        <w:keepNext/>
        <w:keepLines/>
        <w:shd w:val="clear" w:color="auto" w:fill="auto"/>
        <w:spacing w:after="141" w:line="280" w:lineRule="exact"/>
        <w:ind w:right="20"/>
      </w:pPr>
      <w:bookmarkStart w:id="0" w:name="bookmark0"/>
      <w:r>
        <w:t xml:space="preserve">Алгоритм дій Переможця для </w:t>
      </w:r>
      <w:r>
        <w:rPr>
          <w:lang w:val="ru-RU" w:eastAsia="ru-RU" w:bidi="ru-RU"/>
        </w:rPr>
        <w:t xml:space="preserve">заключения </w:t>
      </w:r>
      <w:r>
        <w:t>договору.</w:t>
      </w:r>
      <w:bookmarkEnd w:id="0"/>
    </w:p>
    <w:p w:rsidR="009F3879" w:rsidRDefault="00DD6436">
      <w:pPr>
        <w:pStyle w:val="20"/>
        <w:shd w:val="clear" w:color="auto" w:fill="auto"/>
        <w:spacing w:before="0"/>
        <w:ind w:firstLine="760"/>
      </w:pPr>
      <w:r>
        <w:t>Учасник, що визнаний Переможцем публічних торгів за результатами аукціону (далі- Переможець), протягом 3 (трьох) робочих днів з моменту проведення аукціону, повинен завантажити кінцеву цінову пропозицію, яка в подальшому є основою для складання специфікації до Договору. Сума кінцевої цінової пропозиції не може бути нижче запропонованої Переможцем електронних торгів за результатами аукціону. Кінцева цінова пропозиція,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w:t>
      </w:r>
    </w:p>
    <w:p w:rsidR="009F3879" w:rsidRDefault="00DD6436">
      <w:pPr>
        <w:pStyle w:val="20"/>
        <w:shd w:val="clear" w:color="auto" w:fill="auto"/>
        <w:spacing w:before="0"/>
        <w:ind w:firstLine="760"/>
      </w:pPr>
      <w:r>
        <w:t>Переможець протягом 7 (семи) робочих днів з моменту проведення аукціону повинен організувати процес підписання Протоколу торгів між Стороною Переможця, Стороною майданчика через який Переможець робив ставки, Стороною Продавця. Продавець одержує 3 примірника підписаного 2 Сторонами Протокол. Продавець підписує протокол та розміщує на електронному майданчику скановану копію Протоколу.</w:t>
      </w:r>
    </w:p>
    <w:p w:rsidR="009F3879" w:rsidRDefault="00DD6436">
      <w:pPr>
        <w:pStyle w:val="20"/>
        <w:shd w:val="clear" w:color="auto" w:fill="auto"/>
        <w:spacing w:before="0"/>
        <w:ind w:firstLine="760"/>
      </w:pPr>
      <w:r>
        <w:t>Переможець протягом 3 (трьох) робочих днів з моменту оголошення Протоколу електронних торгів повинен передати Договір, підписаний зі свого боку (без вказання дати договору) та наступні документи для за</w:t>
      </w:r>
      <w:r w:rsidR="007B2352">
        <w:t>ключення договору Стороні</w:t>
      </w:r>
      <w:r>
        <w:t xml:space="preserve"> Продавця:</w:t>
      </w:r>
    </w:p>
    <w:p w:rsidR="009F3879" w:rsidRDefault="00DD6436">
      <w:pPr>
        <w:pStyle w:val="20"/>
        <w:shd w:val="clear" w:color="auto" w:fill="auto"/>
        <w:spacing w:before="0"/>
      </w:pPr>
      <w:r>
        <w:t>Копії завірені Контрагентом:</w:t>
      </w:r>
    </w:p>
    <w:p w:rsidR="009F3879" w:rsidRDefault="00DD6436">
      <w:pPr>
        <w:pStyle w:val="20"/>
        <w:shd w:val="clear" w:color="auto" w:fill="auto"/>
        <w:tabs>
          <w:tab w:val="left" w:pos="299"/>
        </w:tabs>
        <w:spacing w:before="0"/>
      </w:pPr>
      <w:r>
        <w:t>а.</w:t>
      </w:r>
      <w:r>
        <w:tab/>
        <w:t>) установчий документ (статут (положення), засновницький/установчий договір, рішення про утворення суб’єкта господарювання);</w:t>
      </w:r>
    </w:p>
    <w:p w:rsidR="009F3879" w:rsidRDefault="00DD6436">
      <w:pPr>
        <w:pStyle w:val="20"/>
        <w:shd w:val="clear" w:color="auto" w:fill="auto"/>
        <w:tabs>
          <w:tab w:val="left" w:pos="310"/>
        </w:tabs>
        <w:spacing w:before="0"/>
      </w:pPr>
      <w:r>
        <w:t>б.</w:t>
      </w:r>
      <w:r>
        <w:tab/>
        <w:t>) витяг з реєстру платників податків на додану вартість (якщо Контрагент є платником податку на додану вартість);</w:t>
      </w:r>
    </w:p>
    <w:p w:rsidR="009F3879" w:rsidRDefault="00DD6436">
      <w:pPr>
        <w:pStyle w:val="20"/>
        <w:shd w:val="clear" w:color="auto" w:fill="auto"/>
        <w:tabs>
          <w:tab w:val="left" w:pos="313"/>
        </w:tabs>
        <w:spacing w:before="0"/>
      </w:pPr>
      <w:r>
        <w:t>в.</w:t>
      </w:r>
      <w:r>
        <w:tab/>
        <w:t>) 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9F3879" w:rsidRDefault="00DD6436">
      <w:pPr>
        <w:pStyle w:val="20"/>
        <w:shd w:val="clear" w:color="auto" w:fill="auto"/>
        <w:tabs>
          <w:tab w:val="left" w:pos="306"/>
        </w:tabs>
        <w:spacing w:before="0"/>
      </w:pPr>
      <w:r>
        <w:t>г.</w:t>
      </w:r>
      <w:r>
        <w:tab/>
        <w:t>) витяг з Єдиного державного реєстру юридичних осіб та фізичних осіб-підприємців;</w:t>
      </w:r>
    </w:p>
    <w:p w:rsidR="009F3879" w:rsidRDefault="00DD6436">
      <w:pPr>
        <w:pStyle w:val="20"/>
        <w:shd w:val="clear" w:color="auto" w:fill="auto"/>
        <w:tabs>
          <w:tab w:val="left" w:pos="313"/>
        </w:tabs>
        <w:spacing w:before="0"/>
      </w:pPr>
      <w:r>
        <w:t>д.</w:t>
      </w:r>
      <w:r>
        <w:tab/>
        <w:t>) довідка про фактичне місцезнаходження контрагента та номери телефонів керівника та головного бухгалтера або особи, яка виконує його функції;</w:t>
      </w:r>
    </w:p>
    <w:p w:rsidR="009F3879" w:rsidRDefault="00DD6436">
      <w:pPr>
        <w:pStyle w:val="20"/>
        <w:shd w:val="clear" w:color="auto" w:fill="auto"/>
        <w:tabs>
          <w:tab w:val="left" w:pos="320"/>
        </w:tabs>
        <w:spacing w:before="0"/>
      </w:pPr>
      <w:r>
        <w:t>е.</w:t>
      </w:r>
      <w:r>
        <w:tab/>
        <w:t>) картка зі зразками підписів та відбитком печатки контрагента в разі наявності (з банку, в якому відкритий поточний рахунок, зазначений в банківських реквізитах Контрагента в Договорі);</w:t>
      </w:r>
    </w:p>
    <w:p w:rsidR="009F3879" w:rsidRDefault="00DD6436">
      <w:pPr>
        <w:pStyle w:val="20"/>
        <w:shd w:val="clear" w:color="auto" w:fill="auto"/>
        <w:tabs>
          <w:tab w:val="left" w:pos="356"/>
        </w:tabs>
        <w:spacing w:before="0"/>
      </w:pPr>
      <w:r>
        <w:t>ж.</w:t>
      </w:r>
      <w:r>
        <w:tab/>
        <w:t>) довідка з банку про відкриття поточного рахунку з реквізитами, вказаними в Договорі;</w:t>
      </w:r>
    </w:p>
    <w:p w:rsidR="009F3879" w:rsidRDefault="00DD6436">
      <w:pPr>
        <w:pStyle w:val="20"/>
        <w:shd w:val="clear" w:color="auto" w:fill="auto"/>
        <w:tabs>
          <w:tab w:val="left" w:pos="356"/>
        </w:tabs>
        <w:spacing w:before="0"/>
      </w:pPr>
      <w:r>
        <w:t>з.</w:t>
      </w:r>
      <w:r>
        <w:tab/>
        <w:t>) документ, що підтверджує взяття платника податку на облік в органах державної фіскальної служби;</w:t>
      </w:r>
    </w:p>
    <w:p w:rsidR="009F3879" w:rsidRDefault="00DD6436">
      <w:pPr>
        <w:pStyle w:val="20"/>
        <w:shd w:val="clear" w:color="auto" w:fill="auto"/>
        <w:spacing w:before="0"/>
      </w:pPr>
      <w:r>
        <w:t>і.) оригінал (або копію, завірену контрагентом) кінцевої цінової пропозиції Переможця електронних торгів, що додається контрагентом до документації електронних торгів.</w:t>
      </w:r>
    </w:p>
    <w:p w:rsidR="007B2352" w:rsidRDefault="007B2352">
      <w:pPr>
        <w:pStyle w:val="20"/>
        <w:shd w:val="clear" w:color="auto" w:fill="auto"/>
        <w:spacing w:before="0"/>
      </w:pPr>
      <w:r>
        <w:t xml:space="preserve">к.) </w:t>
      </w:r>
      <w:bookmarkStart w:id="1" w:name="_GoBack"/>
      <w:r>
        <w:t>дозволи на виконання вогненебезпечних робіт та</w:t>
      </w:r>
      <w:r w:rsidR="008B6684">
        <w:t xml:space="preserve"> </w:t>
      </w:r>
      <w:r>
        <w:t>робіт на висоті.</w:t>
      </w:r>
      <w:bookmarkEnd w:id="1"/>
    </w:p>
    <w:p w:rsidR="009F3879" w:rsidRDefault="00DD6436">
      <w:pPr>
        <w:pStyle w:val="30"/>
        <w:shd w:val="clear" w:color="auto" w:fill="auto"/>
      </w:pPr>
      <w:r>
        <w:rPr>
          <w:rStyle w:val="3TimesNewRoman"/>
          <w:rFonts w:eastAsia="Calibri"/>
          <w:b/>
          <w:bCs/>
          <w:i/>
          <w:iCs/>
        </w:rPr>
        <w:t>У разі підписання договору</w:t>
      </w:r>
      <w:r>
        <w:rPr>
          <w:rStyle w:val="312pt"/>
        </w:rPr>
        <w:t xml:space="preserve">, </w:t>
      </w:r>
      <w:r>
        <w:rPr>
          <w:rStyle w:val="31"/>
          <w:b/>
          <w:bCs/>
          <w:i/>
          <w:iCs/>
        </w:rPr>
        <w:t>Сторона Продавця виставляє рахунок Переможцю торгів на сплату всієї суми за договором. Переможець публічних торгів здійснює оплату на умовах 100% попередньої оплати у строк, що не перевищує 10 (десять) банківських днів</w:t>
      </w:r>
      <w:r>
        <w:rPr>
          <w:rStyle w:val="312pt"/>
        </w:rPr>
        <w:t xml:space="preserve"> з </w:t>
      </w:r>
      <w:r>
        <w:rPr>
          <w:rStyle w:val="31"/>
          <w:b/>
          <w:bCs/>
          <w:i/>
          <w:iCs/>
        </w:rPr>
        <w:t>моменту підписання Договору.</w:t>
      </w:r>
    </w:p>
    <w:p w:rsidR="009F3879" w:rsidRDefault="00DD6436">
      <w:pPr>
        <w:pStyle w:val="40"/>
        <w:shd w:val="clear" w:color="auto" w:fill="auto"/>
      </w:pPr>
      <w:r>
        <w:t>Коментар:</w:t>
      </w:r>
    </w:p>
    <w:p w:rsidR="009F3879" w:rsidRDefault="00DD6436">
      <w:pPr>
        <w:pStyle w:val="50"/>
        <w:shd w:val="clear" w:color="auto" w:fill="auto"/>
        <w:spacing w:after="563"/>
      </w:pPr>
      <w:r>
        <w:t xml:space="preserve">Сторона Продавця - </w:t>
      </w:r>
      <w:r w:rsidR="007B2352" w:rsidRPr="007B2352">
        <w:t>ДО  Комбінат «Прогрес»</w:t>
      </w:r>
      <w:r>
        <w:t xml:space="preserve">, що знаходиться за адресою: </w:t>
      </w:r>
      <w:r w:rsidR="007B2352">
        <w:t>24</w:t>
      </w:r>
      <w:r>
        <w:t xml:space="preserve">, </w:t>
      </w:r>
      <w:r w:rsidR="007B2352">
        <w:t>бульвар Вацлава Гавела</w:t>
      </w:r>
      <w:r>
        <w:t>, м. Київ, 0</w:t>
      </w:r>
      <w:r w:rsidR="007B2352">
        <w:t>3126</w:t>
      </w:r>
      <w:r>
        <w:t xml:space="preserve">, Україна. Відповідальна особа </w:t>
      </w:r>
      <w:r w:rsidR="007B2352">
        <w:t>–</w:t>
      </w:r>
      <w:r>
        <w:t xml:space="preserve"> </w:t>
      </w:r>
      <w:r w:rsidR="007B2352">
        <w:t>Чучмар Віталій Валерійович</w:t>
      </w:r>
      <w:r>
        <w:t xml:space="preserve"> тел. </w:t>
      </w:r>
      <w:r w:rsidR="007B2352">
        <w:t>–</w:t>
      </w:r>
      <w:r>
        <w:t xml:space="preserve"> </w:t>
      </w:r>
      <w:r w:rsidR="007B2352">
        <w:t>050-310-14-25</w:t>
      </w:r>
      <w:r>
        <w:t xml:space="preserve"> </w:t>
      </w:r>
    </w:p>
    <w:p w:rsidR="009F3879" w:rsidRDefault="00DD6436">
      <w:pPr>
        <w:pStyle w:val="60"/>
        <w:shd w:val="clear" w:color="auto" w:fill="auto"/>
        <w:spacing w:before="0" w:after="4" w:line="200" w:lineRule="exact"/>
      </w:pPr>
      <w:r>
        <w:t xml:space="preserve">Виконавець: </w:t>
      </w:r>
      <w:r w:rsidR="007B2352">
        <w:t>Чучмар  В.В.</w:t>
      </w:r>
      <w:r>
        <w:t>.</w:t>
      </w:r>
    </w:p>
    <w:p w:rsidR="009F3879" w:rsidRDefault="00DD6436">
      <w:pPr>
        <w:pStyle w:val="70"/>
        <w:shd w:val="clear" w:color="auto" w:fill="auto"/>
        <w:spacing w:before="0" w:line="200" w:lineRule="exact"/>
      </w:pPr>
      <w:r>
        <w:rPr>
          <w:rStyle w:val="71"/>
        </w:rPr>
        <w:t>(</w:t>
      </w:r>
      <w:r w:rsidR="007B2352">
        <w:t>050</w:t>
      </w:r>
      <w:r>
        <w:rPr>
          <w:rStyle w:val="71"/>
        </w:rPr>
        <w:t xml:space="preserve">) </w:t>
      </w:r>
      <w:r w:rsidR="007B2352">
        <w:t>310-14-25</w:t>
      </w:r>
    </w:p>
    <w:sectPr w:rsidR="009F3879">
      <w:pgSz w:w="11900" w:h="16840"/>
      <w:pgMar w:top="814" w:right="695" w:bottom="814" w:left="6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7F" w:rsidRDefault="00C8057F">
      <w:r>
        <w:separator/>
      </w:r>
    </w:p>
  </w:endnote>
  <w:endnote w:type="continuationSeparator" w:id="0">
    <w:p w:rsidR="00C8057F" w:rsidRDefault="00C8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7F" w:rsidRDefault="00C8057F"/>
  </w:footnote>
  <w:footnote w:type="continuationSeparator" w:id="0">
    <w:p w:rsidR="00C8057F" w:rsidRDefault="00C805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79"/>
    <w:rsid w:val="007B2352"/>
    <w:rsid w:val="008B6684"/>
    <w:rsid w:val="009F3879"/>
    <w:rsid w:val="00C8057F"/>
    <w:rsid w:val="00DD6436"/>
    <w:rsid w:val="00EA279E"/>
    <w:rsid w:val="00F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3EA"/>
  <w15:docId w15:val="{92308260-2BE7-4679-8BB2-9234809B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Calibri" w:eastAsia="Calibri" w:hAnsi="Calibri" w:cs="Calibri"/>
      <w:b/>
      <w:bCs/>
      <w:i/>
      <w:iCs/>
      <w:smallCaps w:val="0"/>
      <w:strike w:val="0"/>
      <w:sz w:val="22"/>
      <w:szCs w:val="22"/>
      <w:u w:val="none"/>
    </w:rPr>
  </w:style>
  <w:style w:type="character" w:customStyle="1" w:styleId="3TimesNewRoman">
    <w:name w:val="Основной текст (3) + Times New Roman"/>
    <w:basedOn w:val="3"/>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312pt">
    <w:name w:val="Основной текст (3) + 12 pt;Не полужирный;Не курсив"/>
    <w:basedOn w:val="3"/>
    <w:rPr>
      <w:rFonts w:ascii="Calibri" w:eastAsia="Calibri" w:hAnsi="Calibri" w:cs="Calibri"/>
      <w:b/>
      <w:bCs/>
      <w:i/>
      <w:iCs/>
      <w:smallCaps w:val="0"/>
      <w:strike w:val="0"/>
      <w:color w:val="000000"/>
      <w:spacing w:val="0"/>
      <w:w w:val="100"/>
      <w:position w:val="0"/>
      <w:sz w:val="24"/>
      <w:szCs w:val="24"/>
      <w:u w:val="single"/>
      <w:lang w:val="uk-UA" w:eastAsia="uk-UA" w:bidi="uk-UA"/>
    </w:rPr>
  </w:style>
  <w:style w:type="character" w:customStyle="1" w:styleId="31">
    <w:name w:val="Основной текст (3)"/>
    <w:basedOn w:val="3"/>
    <w:rPr>
      <w:rFonts w:ascii="Calibri" w:eastAsia="Calibri" w:hAnsi="Calibri" w:cs="Calibri"/>
      <w:b/>
      <w:bCs/>
      <w:i/>
      <w:iCs/>
      <w:smallCaps w:val="0"/>
      <w:strike w:val="0"/>
      <w:color w:val="000000"/>
      <w:spacing w:val="0"/>
      <w:w w:val="100"/>
      <w:position w:val="0"/>
      <w:sz w:val="22"/>
      <w:szCs w:val="22"/>
      <w:u w:val="single"/>
      <w:lang w:val="uk-UA" w:eastAsia="uk-UA" w:bidi="uk-UA"/>
    </w:rPr>
  </w:style>
  <w:style w:type="character" w:customStyle="1" w:styleId="4">
    <w:name w:val="Основной текст (4)_"/>
    <w:basedOn w:val="a0"/>
    <w:link w:val="40"/>
    <w:rPr>
      <w:rFonts w:ascii="Calibri" w:eastAsia="Calibri" w:hAnsi="Calibri" w:cs="Calibri"/>
      <w:b/>
      <w:bCs/>
      <w:i w:val="0"/>
      <w:iCs w:val="0"/>
      <w:smallCaps w:val="0"/>
      <w:strike w:val="0"/>
      <w:sz w:val="22"/>
      <w:szCs w:val="22"/>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10">
    <w:name w:val="Заголовок №1"/>
    <w:basedOn w:val="a"/>
    <w:link w:val="1"/>
    <w:pPr>
      <w:shd w:val="clear" w:color="auto" w:fill="FFFFFF"/>
      <w:spacing w:after="240" w:line="0" w:lineRule="atLeast"/>
      <w:jc w:val="center"/>
      <w:outlineLvl w:val="0"/>
    </w:pPr>
    <w:rPr>
      <w:rFonts w:ascii="Calibri" w:eastAsia="Calibri" w:hAnsi="Calibri" w:cs="Calibri"/>
      <w:b/>
      <w:bCs/>
      <w:sz w:val="28"/>
      <w:szCs w:val="28"/>
    </w:rPr>
  </w:style>
  <w:style w:type="paragraph" w:customStyle="1" w:styleId="20">
    <w:name w:val="Основной текст (2)"/>
    <w:basedOn w:val="a"/>
    <w:link w:val="2"/>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5" w:lineRule="exact"/>
      <w:ind w:firstLine="760"/>
      <w:jc w:val="both"/>
    </w:pPr>
    <w:rPr>
      <w:rFonts w:ascii="Calibri" w:eastAsia="Calibri" w:hAnsi="Calibri" w:cs="Calibri"/>
      <w:b/>
      <w:bCs/>
      <w:i/>
      <w:iCs/>
      <w:sz w:val="22"/>
      <w:szCs w:val="22"/>
    </w:rPr>
  </w:style>
  <w:style w:type="paragraph" w:customStyle="1" w:styleId="40">
    <w:name w:val="Основной текст (4)"/>
    <w:basedOn w:val="a"/>
    <w:link w:val="4"/>
    <w:pPr>
      <w:shd w:val="clear" w:color="auto" w:fill="FFFFFF"/>
      <w:spacing w:line="295" w:lineRule="exact"/>
      <w:ind w:firstLine="760"/>
      <w:jc w:val="both"/>
    </w:pPr>
    <w:rPr>
      <w:rFonts w:ascii="Calibri" w:eastAsia="Calibri" w:hAnsi="Calibri" w:cs="Calibri"/>
      <w:b/>
      <w:bCs/>
      <w:sz w:val="22"/>
      <w:szCs w:val="22"/>
    </w:rPr>
  </w:style>
  <w:style w:type="paragraph" w:customStyle="1" w:styleId="50">
    <w:name w:val="Основной текст (5)"/>
    <w:basedOn w:val="a"/>
    <w:link w:val="5"/>
    <w:pPr>
      <w:shd w:val="clear" w:color="auto" w:fill="FFFFFF"/>
      <w:spacing w:after="600" w:line="295" w:lineRule="exact"/>
      <w:ind w:firstLine="760"/>
    </w:pPr>
    <w:rPr>
      <w:rFonts w:ascii="Calibri" w:eastAsia="Calibri" w:hAnsi="Calibri" w:cs="Calibri"/>
    </w:rPr>
  </w:style>
  <w:style w:type="paragraph" w:customStyle="1" w:styleId="22">
    <w:name w:val="Заголовок №2"/>
    <w:basedOn w:val="a"/>
    <w:link w:val="21"/>
    <w:pPr>
      <w:shd w:val="clear" w:color="auto" w:fill="FFFFFF"/>
      <w:spacing w:before="600" w:after="60" w:line="342" w:lineRule="exact"/>
      <w:jc w:val="both"/>
      <w:outlineLvl w:val="1"/>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2019-05-29T05:57:00Z</dcterms:created>
  <dcterms:modified xsi:type="dcterms:W3CDTF">2019-05-29T07:49:00Z</dcterms:modified>
</cp:coreProperties>
</file>