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605606">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605606">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60560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5606" w:rsidRPr="00074FF3" w:rsidRDefault="0060560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605606" w:rsidRPr="00074FF3" w:rsidRDefault="0060560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605606" w:rsidRPr="00605606" w:rsidRDefault="00605606" w:rsidP="00304342">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605606" w:rsidRPr="006E6F98" w:rsidRDefault="00605606" w:rsidP="00605606">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3431DD"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AC1AE2"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C1AE2" w:rsidRPr="00074FF3" w:rsidRDefault="00AC1AE2" w:rsidP="00AC1AE2">
            <w:pPr>
              <w:spacing w:before="120"/>
              <w:ind w:left="-87" w:right="-45"/>
              <w:jc w:val="center"/>
              <w:rPr>
                <w:rFonts w:ascii="Times New Roman" w:hAnsi="Times New Roman"/>
                <w:color w:val="000000"/>
                <w:sz w:val="20"/>
              </w:rPr>
            </w:pPr>
            <w:bookmarkStart w:id="0" w:name="_GoBack" w:colFirst="1" w:colLast="1"/>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AC1AE2" w:rsidRPr="00AC1AE2" w:rsidRDefault="00AC1AE2" w:rsidP="00AC1AE2">
            <w:pPr>
              <w:spacing w:before="120"/>
              <w:rPr>
                <w:rFonts w:ascii="Times New Roman" w:hAnsi="Times New Roman"/>
                <w:sz w:val="20"/>
              </w:rPr>
            </w:pPr>
            <w:r w:rsidRPr="00AC1AE2">
              <w:rPr>
                <w:rFonts w:ascii="Times New Roman" w:hAnsi="Times New Roman"/>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AC1AE2" w:rsidRPr="00AC1AE2" w:rsidRDefault="00AC1AE2" w:rsidP="00AC1AE2">
            <w:pPr>
              <w:spacing w:before="120"/>
              <w:rPr>
                <w:rFonts w:ascii="Times New Roman" w:hAnsi="Times New Roman"/>
                <w:sz w:val="20"/>
              </w:rPr>
            </w:pPr>
            <w:r w:rsidRPr="00AC1AE2">
              <w:rPr>
                <w:rFonts w:ascii="Times New Roman" w:hAnsi="Times New Roman"/>
                <w:sz w:val="20"/>
              </w:rPr>
              <w:t>Ліцей №4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AC1AE2" w:rsidRPr="00AC1AE2" w:rsidRDefault="00AC1AE2" w:rsidP="00AC1AE2">
            <w:pPr>
              <w:spacing w:before="120"/>
              <w:rPr>
                <w:rFonts w:ascii="Times New Roman" w:hAnsi="Times New Roman"/>
                <w:sz w:val="20"/>
              </w:rPr>
            </w:pPr>
            <w:r w:rsidRPr="00AC1AE2">
              <w:rPr>
                <w:rFonts w:ascii="Times New Roman" w:hAnsi="Times New Roman"/>
                <w:sz w:val="20"/>
              </w:rPr>
              <w:t>20558862</w:t>
            </w:r>
          </w:p>
        </w:tc>
        <w:tc>
          <w:tcPr>
            <w:tcW w:w="1327" w:type="dxa"/>
            <w:tcBorders>
              <w:top w:val="single" w:sz="4" w:space="0" w:color="000000"/>
              <w:left w:val="nil"/>
              <w:bottom w:val="single" w:sz="4" w:space="0" w:color="000000"/>
              <w:right w:val="single" w:sz="4" w:space="0" w:color="000000"/>
            </w:tcBorders>
          </w:tcPr>
          <w:p w:rsidR="00AC1AE2" w:rsidRPr="00B8731E" w:rsidRDefault="00AC1AE2" w:rsidP="00AC1AE2">
            <w:pPr>
              <w:spacing w:before="120"/>
              <w:rPr>
                <w:rFonts w:ascii="Times New Roman" w:hAnsi="Times New Roman"/>
                <w:sz w:val="20"/>
              </w:rPr>
            </w:pPr>
            <w:r w:rsidRPr="00B8731E">
              <w:rPr>
                <w:rFonts w:ascii="Times New Roman" w:hAnsi="Times New Roman"/>
                <w:sz w:val="20"/>
              </w:rPr>
              <w:t>76010, Івано-Франківська обл., м. Івано-Франківськ, Південний бульвар, 24</w:t>
            </w:r>
          </w:p>
        </w:tc>
        <w:tc>
          <w:tcPr>
            <w:tcW w:w="1090" w:type="dxa"/>
            <w:gridSpan w:val="4"/>
            <w:tcBorders>
              <w:top w:val="single" w:sz="4" w:space="0" w:color="000000"/>
              <w:left w:val="nil"/>
              <w:bottom w:val="single" w:sz="4" w:space="0" w:color="000000"/>
              <w:right w:val="single" w:sz="4" w:space="0" w:color="000000"/>
            </w:tcBorders>
          </w:tcPr>
          <w:p w:rsidR="00AC1AE2" w:rsidRPr="00074FF3" w:rsidRDefault="00AC1AE2" w:rsidP="00AC1AE2">
            <w:pPr>
              <w:spacing w:before="120"/>
              <w:rPr>
                <w:rFonts w:ascii="Times New Roman" w:hAnsi="Times New Roman"/>
                <w:color w:val="000000"/>
                <w:sz w:val="20"/>
              </w:rPr>
            </w:pPr>
            <w:r>
              <w:rPr>
                <w:rFonts w:ascii="Times New Roman" w:hAnsi="Times New Roman"/>
                <w:color w:val="000000"/>
                <w:sz w:val="20"/>
              </w:rPr>
              <w:t>Гаврилюк Ірина Романівна</w:t>
            </w:r>
          </w:p>
        </w:tc>
        <w:tc>
          <w:tcPr>
            <w:tcW w:w="1305" w:type="dxa"/>
            <w:gridSpan w:val="2"/>
            <w:tcBorders>
              <w:top w:val="single" w:sz="4" w:space="0" w:color="000000"/>
              <w:left w:val="nil"/>
              <w:bottom w:val="single" w:sz="4" w:space="0" w:color="000000"/>
              <w:right w:val="single" w:sz="4" w:space="0" w:color="000000"/>
            </w:tcBorders>
          </w:tcPr>
          <w:p w:rsidR="00AC1AE2" w:rsidRPr="00074FF3" w:rsidRDefault="00AC1AE2" w:rsidP="00AC1AE2">
            <w:pPr>
              <w:spacing w:before="120"/>
              <w:rPr>
                <w:rFonts w:ascii="Times New Roman" w:hAnsi="Times New Roman"/>
                <w:color w:val="000000"/>
                <w:sz w:val="20"/>
              </w:rPr>
            </w:pPr>
            <w:r>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AC1AE2" w:rsidRPr="00074FF3" w:rsidRDefault="00AC1AE2" w:rsidP="00AC1AE2">
            <w:pPr>
              <w:spacing w:before="120"/>
              <w:rPr>
                <w:rFonts w:ascii="Times New Roman" w:hAnsi="Times New Roman"/>
                <w:color w:val="000000"/>
                <w:sz w:val="20"/>
              </w:rPr>
            </w:pPr>
            <w:r>
              <w:rPr>
                <w:rFonts w:ascii="Times New Roman" w:hAnsi="Times New Roman"/>
                <w:color w:val="000000"/>
                <w:sz w:val="20"/>
              </w:rPr>
              <w:t>Статут організації</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AC1AE2" w:rsidRDefault="00C72A36" w:rsidP="00304342">
            <w:pPr>
              <w:spacing w:before="120"/>
              <w:rPr>
                <w:rFonts w:ascii="Times New Roman" w:hAnsi="Times New Roman"/>
                <w:sz w:val="20"/>
              </w:rPr>
            </w:pPr>
            <w:r w:rsidRPr="00AC1AE2">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AC1AE2" w:rsidP="00304342">
            <w:pPr>
              <w:spacing w:before="120"/>
              <w:rPr>
                <w:rFonts w:ascii="Times New Roman" w:hAnsi="Times New Roman"/>
                <w:color w:val="000000"/>
                <w:sz w:val="20"/>
              </w:rPr>
            </w:pPr>
            <w:hyperlink r:id="rId8" w:history="1">
              <w:r w:rsidRPr="00B8731E">
                <w:rPr>
                  <w:rFonts w:ascii="Times New Roman" w:hAnsi="Times New Roman"/>
                  <w:sz w:val="20"/>
                </w:rPr>
                <w:t>school4if@ukr.net</w:t>
              </w:r>
            </w:hyperlink>
          </w:p>
        </w:tc>
      </w:tr>
      <w:bookmarkEnd w:id="0"/>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D4DE7" w:rsidP="00CD4DE7">
            <w:pPr>
              <w:spacing w:before="120"/>
              <w:rPr>
                <w:rFonts w:ascii="Times New Roman" w:hAnsi="Times New Roman"/>
                <w:color w:val="000000"/>
                <w:sz w:val="20"/>
              </w:rPr>
            </w:pPr>
            <w:r>
              <w:rPr>
                <w:rFonts w:ascii="Times New Roman" w:hAnsi="Times New Roman"/>
                <w:color w:val="000000"/>
                <w:sz w:val="20"/>
              </w:rPr>
              <w:t>ч</w:t>
            </w:r>
            <w:r>
              <w:rPr>
                <w:rFonts w:ascii="Times New Roman" w:hAnsi="Times New Roman"/>
                <w:sz w:val="20"/>
              </w:rPr>
              <w:t>астина</w:t>
            </w:r>
            <w:r w:rsidRPr="00CD4DE7">
              <w:rPr>
                <w:rFonts w:ascii="Times New Roman" w:hAnsi="Times New Roman"/>
                <w:sz w:val="20"/>
              </w:rPr>
              <w:t xml:space="preserve"> нежитлового приміщення  площею </w:t>
            </w:r>
            <w:smartTag w:uri="urn:schemas-microsoft-com:office:smarttags" w:element="metricconverter">
              <w:smartTagPr>
                <w:attr w:name="ProductID" w:val="82,9 кв. м"/>
              </w:smartTagPr>
              <w:r w:rsidRPr="00CD4DE7">
                <w:rPr>
                  <w:rFonts w:ascii="Times New Roman" w:hAnsi="Times New Roman"/>
                  <w:sz w:val="20"/>
                </w:rPr>
                <w:t>82,9 кв. м</w:t>
              </w:r>
            </w:smartTag>
            <w:r w:rsidRPr="00CD4DE7">
              <w:rPr>
                <w:rFonts w:ascii="Times New Roman" w:hAnsi="Times New Roman"/>
                <w:sz w:val="20"/>
              </w:rPr>
              <w:t xml:space="preserve">, розташованого на другому поверсі в будівлі </w:t>
            </w:r>
            <w:r w:rsidRPr="00CD4DE7">
              <w:rPr>
                <w:rFonts w:ascii="Times New Roman" w:hAnsi="Times New Roman"/>
                <w:color w:val="000000"/>
                <w:sz w:val="20"/>
              </w:rPr>
              <w:t>ліцею № 4 Івано-Франківської міської ради</w:t>
            </w:r>
            <w:r w:rsidRPr="00CD4DE7">
              <w:rPr>
                <w:rFonts w:ascii="Times New Roman" w:hAnsi="Times New Roman"/>
                <w:sz w:val="20"/>
              </w:rPr>
              <w:t xml:space="preserve"> за адресою: Південний бульвар, 24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D4DE7"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D4DE7" w:rsidRPr="00074FF3" w:rsidTr="00CD4DE7">
        <w:trPr>
          <w:trHeight w:val="398"/>
        </w:trPr>
        <w:tc>
          <w:tcPr>
            <w:tcW w:w="770" w:type="dxa"/>
            <w:tcBorders>
              <w:top w:val="single" w:sz="4" w:space="0" w:color="000000"/>
              <w:left w:val="single" w:sz="4" w:space="0" w:color="000000"/>
              <w:bottom w:val="single" w:sz="4" w:space="0" w:color="auto"/>
              <w:right w:val="single" w:sz="4" w:space="0" w:color="000000"/>
            </w:tcBorders>
            <w:hideMark/>
          </w:tcPr>
          <w:p w:rsidR="00CD4DE7" w:rsidRPr="00074FF3" w:rsidRDefault="00CD4DE7"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D4DE7" w:rsidRPr="00074FF3" w:rsidRDefault="00CD4DE7" w:rsidP="00CD4DE7">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t>(1)</w:t>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74FF3">
              <w:rPr>
                <w:rFonts w:ascii="Times New Roman" w:hAnsi="Times New Roman"/>
                <w:color w:val="000000"/>
                <w:sz w:val="20"/>
              </w:rPr>
              <w:br/>
              <w:t>№ 157-I</w:t>
            </w:r>
            <w:r w:rsidRPr="00074FF3">
              <w:rPr>
                <w:rFonts w:ascii="Times New Roman" w:hAnsi="Times New Roman"/>
                <w:color w:val="000000"/>
                <w:sz w:val="20"/>
                <w:lang w:val="en-US"/>
              </w:rPr>
              <w:t>X</w:t>
            </w:r>
            <w:r w:rsidRPr="00074FF3">
              <w:rPr>
                <w:rFonts w:ascii="Times New Roman" w:hAnsi="Times New Roman"/>
                <w:color w:val="000000"/>
                <w:sz w:val="20"/>
                <w:lang w:val="ru-RU"/>
              </w:rPr>
              <w:t>“Про оренду державного і комунального майна” (Відомості Верховної Ради України, 2020 р., № 4,</w:t>
            </w:r>
            <w:r w:rsidRPr="00074FF3">
              <w:rPr>
                <w:rFonts w:ascii="Times New Roman" w:hAnsi="Times New Roman"/>
                <w:color w:val="000000"/>
                <w:sz w:val="20"/>
                <w:lang w:val="ru-RU"/>
              </w:rPr>
              <w:br/>
              <w:t xml:space="preserve"> 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30CA">
              <w:rPr>
                <w:rFonts w:ascii="Times New Roman" w:hAnsi="Times New Roman"/>
                <w:color w:val="000000"/>
                <w:sz w:val="20"/>
              </w:rPr>
              <w:t>767 020,0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630CA"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7630CA" w:rsidP="007630CA">
            <w:pPr>
              <w:spacing w:before="120"/>
              <w:rPr>
                <w:rFonts w:ascii="Times New Roman" w:hAnsi="Times New Roman"/>
                <w:color w:val="000000"/>
                <w:sz w:val="20"/>
              </w:rPr>
            </w:pPr>
            <w:r>
              <w:rPr>
                <w:rFonts w:ascii="Times New Roman" w:hAnsi="Times New Roman"/>
                <w:color w:val="000000"/>
                <w:sz w:val="20"/>
                <w:lang w:val="ru-RU"/>
              </w:rPr>
              <w:t>30.09.2020</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7630CA">
        <w:trPr>
          <w:trHeight w:val="525"/>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30CA">
              <w:rPr>
                <w:rFonts w:ascii="Times New Roman" w:hAnsi="Times New Roman"/>
                <w:color w:val="000000"/>
                <w:sz w:val="20"/>
              </w:rPr>
              <w:t>767 020,0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AC1AE2" w:rsidRDefault="00C72A36" w:rsidP="00304342">
            <w:pPr>
              <w:spacing w:before="120"/>
              <w:rPr>
                <w:rFonts w:ascii="Times New Roman" w:hAnsi="Times New Roman"/>
                <w:sz w:val="20"/>
              </w:rPr>
            </w:pPr>
            <w:r w:rsidRPr="00AC1AE2">
              <w:rPr>
                <w:rFonts w:ascii="Times New Roman" w:hAnsi="Times New Roman"/>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AC1AE2">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AC1AE2">
              <w:rPr>
                <w:rFonts w:ascii="Times New Roman" w:hAnsi="Times New Roman"/>
                <w:color w:val="000000"/>
                <w:sz w:val="20"/>
              </w:rPr>
              <w:t>1600,0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770EA5"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r w:rsidR="00846243">
              <w:rPr>
                <w:rFonts w:ascii="Times New Roman" w:hAnsi="Times New Roman"/>
                <w:color w:val="000000"/>
                <w:sz w:val="20"/>
              </w:rPr>
              <w:t>:</w:t>
            </w:r>
          </w:p>
          <w:p w:rsidR="00C72A36" w:rsidRPr="00074FF3" w:rsidRDefault="00770EA5" w:rsidP="009A6EE1">
            <w:pPr>
              <w:spacing w:before="120"/>
              <w:jc w:val="center"/>
              <w:rPr>
                <w:rFonts w:ascii="Times New Roman" w:hAnsi="Times New Roman"/>
                <w:sz w:val="20"/>
              </w:rPr>
            </w:pPr>
            <w:r w:rsidRPr="00770EA5">
              <w:rPr>
                <w:rFonts w:ascii="Times New Roman" w:hAnsi="Times New Roman"/>
                <w:color w:val="000000"/>
                <w:sz w:val="20"/>
              </w:rPr>
              <w:t xml:space="preserve">для проведення </w:t>
            </w:r>
            <w:r w:rsidRPr="00770EA5">
              <w:rPr>
                <w:rFonts w:ascii="Times New Roman" w:hAnsi="Times New Roman"/>
                <w:sz w:val="20"/>
              </w:rPr>
              <w:t xml:space="preserve">спортивних занять з </w:t>
            </w:r>
            <w:r w:rsidR="009A6EE1">
              <w:rPr>
                <w:rFonts w:ascii="Times New Roman" w:hAnsi="Times New Roman"/>
                <w:sz w:val="20"/>
              </w:rPr>
              <w:t>карате Шотокан</w:t>
            </w:r>
            <w:r w:rsidRPr="00770EA5">
              <w:rPr>
                <w:rFonts w:ascii="Times New Roman" w:hAnsi="Times New Roman"/>
                <w:sz w:val="20"/>
              </w:rPr>
              <w:t xml:space="preserve"> (без права розміщення тренажерів)</w:t>
            </w:r>
          </w:p>
        </w:tc>
      </w:tr>
      <w:tr w:rsidR="00C72A36" w:rsidRPr="00770EA5"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770EA5">
            <w:pPr>
              <w:spacing w:before="120"/>
              <w:rPr>
                <w:rFonts w:ascii="Times New Roman" w:hAnsi="Times New Roman"/>
                <w:color w:val="000000"/>
                <w:sz w:val="20"/>
              </w:rPr>
            </w:pPr>
            <w:r w:rsidRPr="00074FF3">
              <w:rPr>
                <w:rFonts w:ascii="Times New Roman" w:hAnsi="Times New Roman"/>
                <w:color w:val="000000"/>
                <w:sz w:val="20"/>
              </w:rPr>
              <w:t xml:space="preserve">Графік використання </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9A6EE1" w:rsidP="009A6EE1">
            <w:pPr>
              <w:spacing w:before="120"/>
              <w:rPr>
                <w:rFonts w:ascii="Times New Roman" w:hAnsi="Times New Roman"/>
                <w:color w:val="000000"/>
                <w:sz w:val="20"/>
              </w:rPr>
            </w:pPr>
            <w:r>
              <w:rPr>
                <w:rFonts w:ascii="Times New Roman" w:hAnsi="Times New Roman"/>
                <w:sz w:val="20"/>
              </w:rPr>
              <w:t>вівторок, четвер</w:t>
            </w:r>
            <w:r w:rsidR="00770EA5" w:rsidRPr="00770EA5">
              <w:rPr>
                <w:rFonts w:ascii="Times New Roman" w:hAnsi="Times New Roman"/>
                <w:sz w:val="20"/>
              </w:rPr>
              <w:t xml:space="preserve"> з 1</w:t>
            </w:r>
            <w:r>
              <w:rPr>
                <w:rFonts w:ascii="Times New Roman" w:hAnsi="Times New Roman"/>
                <w:sz w:val="20"/>
              </w:rPr>
              <w:t>9</w:t>
            </w:r>
            <w:r w:rsidR="00770EA5">
              <w:rPr>
                <w:rFonts w:ascii="Times New Roman" w:hAnsi="Times New Roman"/>
                <w:sz w:val="20"/>
              </w:rPr>
              <w:t>.</w:t>
            </w:r>
            <w:r>
              <w:rPr>
                <w:rFonts w:ascii="Times New Roman" w:hAnsi="Times New Roman"/>
                <w:sz w:val="20"/>
              </w:rPr>
              <w:t>00 до 20</w:t>
            </w:r>
            <w:r w:rsidR="00770EA5">
              <w:rPr>
                <w:rFonts w:ascii="Times New Roman" w:hAnsi="Times New Roman"/>
                <w:sz w:val="20"/>
              </w:rPr>
              <w:t>.</w:t>
            </w:r>
            <w:r w:rsidR="00770EA5" w:rsidRPr="00770EA5">
              <w:rPr>
                <w:rFonts w:ascii="Times New Roman" w:hAnsi="Times New Roman"/>
                <w:sz w:val="20"/>
              </w:rPr>
              <w:t>00  год.</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w:t>
            </w:r>
            <w:r w:rsidR="004157A2">
              <w:rPr>
                <w:rFonts w:ascii="Times New Roman" w:hAnsi="Times New Roman"/>
                <w:color w:val="000000"/>
                <w:sz w:val="20"/>
              </w:rPr>
              <w:t>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605606">
        <w:trPr>
          <w:trHeight w:val="3023"/>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4157A2" w:rsidRPr="00074FF3" w:rsidTr="004157A2">
        <w:trPr>
          <w:trHeight w:val="1191"/>
        </w:trPr>
        <w:tc>
          <w:tcPr>
            <w:tcW w:w="770" w:type="dxa"/>
            <w:tcBorders>
              <w:top w:val="single" w:sz="4" w:space="0" w:color="000000"/>
              <w:left w:val="single" w:sz="4" w:space="0" w:color="000000"/>
              <w:bottom w:val="single" w:sz="4" w:space="0" w:color="auto"/>
              <w:right w:val="single" w:sz="4" w:space="0" w:color="000000"/>
            </w:tcBorders>
            <w:hideMark/>
          </w:tcPr>
          <w:p w:rsidR="004157A2" w:rsidRPr="00074FF3" w:rsidRDefault="004157A2"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4157A2" w:rsidRPr="00074FF3" w:rsidRDefault="004157A2"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4157A2" w:rsidRPr="00074FF3" w:rsidRDefault="004157A2"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157A2" w:rsidRPr="004157A2" w:rsidRDefault="004157A2" w:rsidP="004157A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4157A2">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12.1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4157A2">
              <w:rPr>
                <w:rFonts w:ascii="Times New Roman" w:hAnsi="Times New Roman"/>
                <w:color w:val="000000"/>
                <w:sz w:val="20"/>
                <w:lang w:val="ru-RU"/>
              </w:rPr>
              <w:t>30 вересня</w:t>
            </w:r>
            <w:r w:rsidRPr="00074FF3">
              <w:rPr>
                <w:rFonts w:ascii="Times New Roman" w:hAnsi="Times New Roman"/>
                <w:color w:val="000000"/>
                <w:sz w:val="20"/>
              </w:rPr>
              <w:t xml:space="preserve"> 20</w:t>
            </w:r>
            <w:r w:rsidR="004157A2">
              <w:rPr>
                <w:rFonts w:ascii="Times New Roman" w:hAnsi="Times New Roman"/>
                <w:color w:val="000000"/>
                <w:sz w:val="20"/>
              </w:rPr>
              <w:t>23</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4157A2">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4157A2">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47D1A" w:rsidRPr="00074FF3" w:rsidTr="00074FF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B47D1A">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 на проведення оцінки об’єкта оренди</w:t>
            </w:r>
          </w:p>
        </w:tc>
      </w:tr>
      <w:tr w:rsidR="00B47D1A" w:rsidRPr="00074FF3" w:rsidTr="00074FF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D26BC0">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90271D" w:rsidRPr="00074FF3" w:rsidTr="0090271D">
        <w:trPr>
          <w:trHeight w:val="313"/>
        </w:trPr>
        <w:tc>
          <w:tcPr>
            <w:tcW w:w="770" w:type="dxa"/>
            <w:vMerge w:val="restart"/>
            <w:tcBorders>
              <w:top w:val="single" w:sz="4" w:space="0" w:color="000000"/>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90271D" w:rsidRPr="00074FF3" w:rsidTr="00292123">
        <w:trPr>
          <w:trHeight w:val="810"/>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 Управління казначейства у м. Івано-Франківську</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отримувача: 37952250</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Казначейство України</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(IBAN): UA868999980334339999000009612</w:t>
            </w:r>
          </w:p>
        </w:tc>
      </w:tr>
      <w:tr w:rsidR="0090271D" w:rsidRPr="00074FF3" w:rsidTr="0090271D">
        <w:trPr>
          <w:trHeight w:val="603"/>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90271D">
              <w:rPr>
                <w:rFonts w:ascii="Times New Roman" w:hAnsi="Times New Roman"/>
                <w:sz w:val="20"/>
              </w:rPr>
              <w:t>Департамент комунальних ресурсів Івано-Франківської міської ради      (для сплати забезпечувального депозиту)</w:t>
            </w:r>
          </w:p>
        </w:tc>
      </w:tr>
      <w:tr w:rsidR="0090271D" w:rsidRPr="00074FF3" w:rsidTr="00292123">
        <w:trPr>
          <w:trHeight w:val="810"/>
        </w:trPr>
        <w:tc>
          <w:tcPr>
            <w:tcW w:w="770" w:type="dxa"/>
            <w:vMerge/>
            <w:tcBorders>
              <w:left w:val="single" w:sz="4" w:space="0" w:color="000000"/>
              <w:bottom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w:t>
            </w:r>
            <w:r>
              <w:rPr>
                <w:sz w:val="20"/>
                <w:szCs w:val="20"/>
                <w:lang w:eastAsia="ru-RU"/>
              </w:rPr>
              <w:t xml:space="preserve"> </w:t>
            </w:r>
            <w:r w:rsidRPr="0090271D">
              <w:rPr>
                <w:sz w:val="20"/>
                <w:szCs w:val="20"/>
                <w:lang w:eastAsia="ru-RU"/>
              </w:rPr>
              <w:t>Департамент комунальних ресурсів Івано-Франківської міської ради.</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40228135</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Державна казначейська служба України м. Київ</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UA228201720355199001082093654</w:t>
            </w:r>
          </w:p>
        </w:tc>
      </w:tr>
      <w:tr w:rsidR="00B47D1A"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B47D1A" w:rsidRPr="00074FF3" w:rsidRDefault="00B47D1A" w:rsidP="0090271D">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0271D">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 xml:space="preserve">Місцевому бюджету </w:t>
            </w:r>
            <w:r w:rsidR="0090271D">
              <w:rPr>
                <w:rFonts w:ascii="Times New Roman" w:hAnsi="Times New Roman"/>
                <w:color w:val="000000"/>
                <w:sz w:val="20"/>
              </w:rPr>
              <w:t>100</w:t>
            </w:r>
            <w:r w:rsidRPr="00074FF3">
              <w:rPr>
                <w:rFonts w:ascii="Times New Roman" w:hAnsi="Times New Roman"/>
                <w:color w:val="000000"/>
                <w:sz w:val="20"/>
              </w:rPr>
              <w:t xml:space="preserve"> відсотків суми орендної плати</w:t>
            </w:r>
          </w:p>
          <w:p w:rsidR="00B47D1A" w:rsidRPr="00074FF3" w:rsidRDefault="00B47D1A"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6B3CEF">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90271D" w:rsidRDefault="00C72A36" w:rsidP="00C72A36">
      <w:pPr>
        <w:jc w:val="center"/>
        <w:rPr>
          <w:rFonts w:ascii="Times New Roman" w:hAnsi="Times New Roman"/>
        </w:rPr>
      </w:pPr>
      <w:r w:rsidRPr="00376909">
        <w:rPr>
          <w:rFonts w:ascii="Times New Roman" w:hAnsi="Times New Roman"/>
        </w:rPr>
        <w:br w:type="page"/>
      </w:r>
    </w:p>
    <w:p w:rsidR="0090271D" w:rsidRDefault="0090271D"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 Майно передається в оренду для використання згідно з пунктом 7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Умови передачі орендованого Майна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90271D">
        <w:rPr>
          <w:rFonts w:ascii="Times New Roman" w:hAnsi="Times New Roman"/>
          <w:sz w:val="24"/>
          <w:szCs w:val="24"/>
        </w:rPr>
        <w:t xml:space="preserve">ження договору оренди (договір </w:t>
      </w:r>
      <w:r w:rsidRPr="0090271D">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Орендна плата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Або (залишити одне з двох альтернативних формулювань):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rPr>
          <w:rFonts w:asciiTheme="minorHAnsi" w:hAnsiTheme="minorHAnsi"/>
          <w:sz w:val="22"/>
          <w:szCs w:val="22"/>
        </w:rPr>
      </w:pP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3.3. Орендар сплачує орендну плату до </w:t>
      </w:r>
      <w:r w:rsidR="005B09A7" w:rsidRPr="0090271D">
        <w:rPr>
          <w:rFonts w:ascii="Times New Roman" w:hAnsi="Times New Roman"/>
          <w:sz w:val="24"/>
          <w:szCs w:val="24"/>
        </w:rPr>
        <w:t>місцев</w:t>
      </w:r>
      <w:r w:rsidRPr="0090271D">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90271D">
        <w:rPr>
          <w:rFonts w:ascii="Times New Roman" w:hAnsi="Times New Roman"/>
          <w:sz w:val="24"/>
          <w:szCs w:val="24"/>
          <w:lang w:val="ru-RU"/>
        </w:rPr>
        <w:t xml:space="preserve"> </w:t>
      </w:r>
      <w:r w:rsidRPr="0090271D">
        <w:rPr>
          <w:rFonts w:ascii="Times New Roman" w:hAnsi="Times New Roman"/>
          <w:sz w:val="24"/>
          <w:szCs w:val="24"/>
        </w:rPr>
        <w:t>до 15 числа, що на</w:t>
      </w:r>
      <w:r w:rsidR="003608E0" w:rsidRPr="0090271D">
        <w:rPr>
          <w:rFonts w:ascii="Times New Roman" w:hAnsi="Times New Roman"/>
          <w:sz w:val="24"/>
          <w:szCs w:val="24"/>
        </w:rPr>
        <w:t>стає за поточним місяцем оренди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3.4. Орендар сплачує орендну плату на підставі рахунків </w:t>
      </w:r>
      <w:r w:rsidR="008F043B" w:rsidRPr="0090271D">
        <w:rPr>
          <w:rFonts w:ascii="Times New Roman" w:hAnsi="Times New Roman"/>
          <w:sz w:val="24"/>
          <w:szCs w:val="24"/>
        </w:rPr>
        <w:t>Департаменту комунальних ресурсів Івано-Франківської міської ради</w:t>
      </w:r>
      <w:r w:rsidRPr="0090271D">
        <w:rPr>
          <w:rFonts w:ascii="Times New Roman" w:hAnsi="Times New Roman"/>
          <w:sz w:val="24"/>
          <w:szCs w:val="24"/>
        </w:rPr>
        <w:t xml:space="preserve">. </w:t>
      </w:r>
      <w:r w:rsidR="008F043B" w:rsidRPr="0090271D">
        <w:rPr>
          <w:rFonts w:ascii="Times New Roman" w:hAnsi="Times New Roman"/>
          <w:sz w:val="24"/>
          <w:szCs w:val="24"/>
        </w:rPr>
        <w:t>Орендар</w:t>
      </w:r>
      <w:r w:rsidR="00BE2677" w:rsidRPr="0090271D">
        <w:rPr>
          <w:rFonts w:ascii="Times New Roman" w:hAnsi="Times New Roman"/>
          <w:sz w:val="24"/>
          <w:szCs w:val="24"/>
        </w:rPr>
        <w:t xml:space="preserve"> </w:t>
      </w:r>
      <w:r w:rsidR="008F043B" w:rsidRPr="0090271D">
        <w:rPr>
          <w:rFonts w:ascii="Times New Roman" w:hAnsi="Times New Roman"/>
          <w:sz w:val="24"/>
          <w:szCs w:val="24"/>
        </w:rPr>
        <w:t>отримує в Департаменті</w:t>
      </w:r>
      <w:r w:rsidR="00BE2677" w:rsidRPr="0090271D">
        <w:rPr>
          <w:rFonts w:ascii="Times New Roman" w:hAnsi="Times New Roman"/>
          <w:sz w:val="24"/>
          <w:szCs w:val="24"/>
        </w:rPr>
        <w:t xml:space="preserve"> </w:t>
      </w:r>
      <w:r w:rsidR="008F043B" w:rsidRPr="0090271D">
        <w:rPr>
          <w:rFonts w:ascii="Times New Roman" w:hAnsi="Times New Roman"/>
          <w:sz w:val="24"/>
          <w:szCs w:val="24"/>
        </w:rPr>
        <w:t xml:space="preserve">комунальних ресурсів Івано-Франківської міської ради </w:t>
      </w:r>
      <w:r w:rsidRPr="0090271D">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90271D">
        <w:rPr>
          <w:rFonts w:ascii="Times New Roman" w:hAnsi="Times New Roman"/>
          <w:sz w:val="24"/>
          <w:szCs w:val="24"/>
        </w:rPr>
        <w:t>місцевого</w:t>
      </w:r>
      <w:r w:rsidRPr="0090271D">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90271D">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рахун</w:t>
      </w:r>
      <w:r w:rsidR="008F043B" w:rsidRPr="0090271D">
        <w:rPr>
          <w:rFonts w:ascii="Times New Roman" w:hAnsi="Times New Roman"/>
          <w:sz w:val="24"/>
          <w:szCs w:val="24"/>
        </w:rPr>
        <w:t>ку</w:t>
      </w:r>
      <w:r w:rsidRPr="0090271D">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90271D">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акт</w:t>
      </w:r>
      <w:r w:rsidR="008F043B" w:rsidRPr="0090271D">
        <w:rPr>
          <w:rFonts w:ascii="Times New Roman" w:hAnsi="Times New Roman"/>
          <w:sz w:val="24"/>
          <w:szCs w:val="24"/>
        </w:rPr>
        <w:t>а</w:t>
      </w:r>
      <w:r w:rsidRPr="0090271D">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90271D">
        <w:rPr>
          <w:rFonts w:ascii="Times New Roman" w:hAnsi="Times New Roman"/>
          <w:sz w:val="24"/>
          <w:szCs w:val="24"/>
        </w:rPr>
        <w:t>у</w:t>
      </w:r>
      <w:r w:rsidRPr="0090271D">
        <w:rPr>
          <w:rFonts w:ascii="Times New Roman" w:hAnsi="Times New Roman"/>
          <w:sz w:val="24"/>
          <w:szCs w:val="24"/>
        </w:rPr>
        <w:t xml:space="preserve"> з орендної плати є протокол про результати електронного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Якщо цей договір укладено без проведення аукціону (договір </w:t>
      </w:r>
      <w:r w:rsidRPr="0090271D">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90271D">
        <w:rPr>
          <w:rFonts w:ascii="Times New Roman" w:hAnsi="Times New Roman"/>
          <w:sz w:val="24"/>
          <w:szCs w:val="24"/>
          <w:lang w:val="en-US"/>
        </w:rPr>
        <w:t> </w:t>
      </w:r>
      <w:r w:rsidRPr="0090271D">
        <w:rPr>
          <w:rFonts w:ascii="Times New Roman" w:hAnsi="Times New Roman"/>
          <w:sz w:val="24"/>
          <w:szCs w:val="24"/>
        </w:rPr>
        <w:t>календарних днів з моменту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90271D">
        <w:rPr>
          <w:rFonts w:ascii="Times New Roman" w:hAnsi="Times New Roman"/>
          <w:sz w:val="24"/>
          <w:szCs w:val="24"/>
        </w:rPr>
        <w:t>місцев</w:t>
      </w:r>
      <w:r w:rsidRPr="0090271D">
        <w:rPr>
          <w:rFonts w:ascii="Times New Roman" w:hAnsi="Times New Roman"/>
          <w:sz w:val="24"/>
          <w:szCs w:val="24"/>
        </w:rPr>
        <w:t xml:space="preserve">ому бюджету) та/або Балансоутримувачем (в частині, </w:t>
      </w:r>
      <w:r w:rsidRPr="0090271D">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90271D" w:rsidRDefault="00C72A36" w:rsidP="00C72A36">
      <w:pPr>
        <w:pStyle w:val="a4"/>
        <w:spacing w:line="233" w:lineRule="auto"/>
        <w:ind w:firstLine="0"/>
        <w:jc w:val="center"/>
        <w:rPr>
          <w:rFonts w:ascii="Times New Roman" w:hAnsi="Times New Roman"/>
          <w:b/>
          <w:sz w:val="24"/>
          <w:szCs w:val="24"/>
        </w:rPr>
      </w:pPr>
      <w:r w:rsidRPr="0090271D">
        <w:rPr>
          <w:rFonts w:ascii="Times New Roman" w:hAnsi="Times New Roman"/>
          <w:b/>
          <w:sz w:val="24"/>
          <w:szCs w:val="24"/>
        </w:rPr>
        <w:t>Повернення Майна з оренди і забезпечувальний депозит</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4.1. У разі припинення договору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0271D">
        <w:rPr>
          <w:rFonts w:ascii="Times New Roman" w:hAnsi="Times New Roman"/>
          <w:sz w:val="24"/>
          <w:szCs w:val="24"/>
          <w:lang w:val="ru-RU"/>
        </w:rPr>
        <w:t>—</w:t>
      </w:r>
      <w:r w:rsidRPr="0090271D">
        <w:rPr>
          <w:rFonts w:ascii="Times New Roman" w:hAnsi="Times New Roman"/>
          <w:sz w:val="24"/>
          <w:szCs w:val="24"/>
        </w:rPr>
        <w:t xml:space="preserve"> то разом із такими поліпшеннями/капітальним ремонтом;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Орендар зобов’язаний: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звільнити Майно одночасно із поверненням підписаних Орендарем актів.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90271D">
        <w:rPr>
          <w:rFonts w:ascii="Times New Roman" w:hAnsi="Times New Roman"/>
          <w:sz w:val="24"/>
          <w:szCs w:val="24"/>
        </w:rPr>
        <w:t>місцев</w:t>
      </w:r>
      <w:r w:rsidRPr="0090271D">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90271D">
        <w:rPr>
          <w:rFonts w:ascii="Times New Roman" w:hAnsi="Times New Roman"/>
          <w:sz w:val="24"/>
          <w:szCs w:val="24"/>
        </w:rPr>
        <w:t xml:space="preserve">Департаменту комунальних ресурсів Івано-Франківської міської ради </w:t>
      </w:r>
      <w:r w:rsidRPr="0090271D">
        <w:rPr>
          <w:rFonts w:ascii="Times New Roman" w:hAnsi="Times New Roman"/>
          <w:sz w:val="24"/>
          <w:szCs w:val="24"/>
        </w:rPr>
        <w:t>забезпечувальний депозит в розмірі, визначеному у пункті 11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4.6.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4.7.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 xml:space="preserve">перераховує забезпечувальний депозит у повному обсязі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4.8.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90271D">
        <w:rPr>
          <w:rFonts w:ascii="Times New Roman" w:hAnsi="Times New Roman"/>
          <w:sz w:val="24"/>
          <w:szCs w:val="24"/>
        </w:rPr>
        <w:t>позиту розподіляється між місцев</w:t>
      </w:r>
      <w:r w:rsidRPr="0090271D">
        <w:rPr>
          <w:rFonts w:ascii="Times New Roman" w:hAnsi="Times New Roman"/>
          <w:sz w:val="24"/>
          <w:szCs w:val="24"/>
        </w:rPr>
        <w:t>им бюджетом і Балансоутримувачем);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90271D" w:rsidRDefault="00EC3959" w:rsidP="00C72A36">
      <w:pPr>
        <w:pStyle w:val="a4"/>
        <w:jc w:val="both"/>
        <w:rPr>
          <w:rFonts w:ascii="Times New Roman" w:hAnsi="Times New Roman"/>
          <w:sz w:val="24"/>
          <w:szCs w:val="24"/>
        </w:rPr>
      </w:pPr>
      <w:r w:rsidRPr="0090271D">
        <w:rPr>
          <w:rFonts w:ascii="Times New Roman" w:hAnsi="Times New Roman"/>
          <w:sz w:val="24"/>
          <w:szCs w:val="24"/>
        </w:rPr>
        <w:t xml:space="preserve">Департамент комунальних ресурсів Івано-Франківської міської ради </w:t>
      </w:r>
      <w:r w:rsidR="00C72A36" w:rsidRPr="0090271D">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Поліпшення і ремонт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5.1. Орендар має право: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Режим використання орендованого Майна</w:t>
      </w:r>
    </w:p>
    <w:p w:rsidR="00636ABD" w:rsidRPr="0090271D" w:rsidRDefault="00636ABD" w:rsidP="00C72A36">
      <w:pPr>
        <w:pStyle w:val="a4"/>
        <w:ind w:firstLine="0"/>
        <w:jc w:val="center"/>
        <w:rPr>
          <w:rFonts w:ascii="Times New Roman" w:hAnsi="Times New Roman"/>
          <w:b/>
          <w:sz w:val="24"/>
          <w:szCs w:val="24"/>
        </w:rPr>
      </w:pPr>
    </w:p>
    <w:p w:rsidR="00C72A36" w:rsidRPr="0090271D" w:rsidRDefault="00C72A36" w:rsidP="00636ABD">
      <w:pPr>
        <w:pStyle w:val="a4"/>
        <w:rPr>
          <w:rFonts w:ascii="Times New Roman" w:hAnsi="Times New Roman"/>
          <w:sz w:val="24"/>
          <w:szCs w:val="24"/>
        </w:rPr>
      </w:pPr>
      <w:r w:rsidRPr="0090271D">
        <w:rPr>
          <w:rFonts w:ascii="Times New Roman" w:hAnsi="Times New Roman"/>
          <w:sz w:val="24"/>
          <w:szCs w:val="24"/>
        </w:rPr>
        <w:t xml:space="preserve">6.1. Орендар зобов’язаний </w:t>
      </w:r>
      <w:r w:rsidR="0086106C" w:rsidRPr="0090271D">
        <w:rPr>
          <w:rFonts w:ascii="Times New Roman" w:hAnsi="Times New Roman"/>
          <w:sz w:val="24"/>
          <w:szCs w:val="24"/>
        </w:rPr>
        <w:t>ви</w:t>
      </w:r>
      <w:r w:rsidR="00064BA7" w:rsidRPr="0090271D">
        <w:rPr>
          <w:rFonts w:ascii="Times New Roman" w:hAnsi="Times New Roman"/>
          <w:sz w:val="24"/>
          <w:szCs w:val="24"/>
        </w:rPr>
        <w:t>к</w:t>
      </w:r>
      <w:r w:rsidRPr="0090271D">
        <w:rPr>
          <w:rFonts w:ascii="Times New Roman" w:hAnsi="Times New Roman"/>
          <w:sz w:val="24"/>
          <w:szCs w:val="24"/>
        </w:rPr>
        <w:t>ористовувати орендоване Майно відповідно до ризначення, визначеного у пункті 7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90271D">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6.3.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0271D">
        <w:rPr>
          <w:rFonts w:ascii="Times New Roman" w:hAnsi="Times New Roman"/>
          <w:sz w:val="24"/>
          <w:szCs w:val="24"/>
          <w:lang w:val="ru-RU"/>
        </w:rPr>
        <w:t>—</w:t>
      </w:r>
      <w:r w:rsidRPr="0090271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w:t>
      </w:r>
      <w:r w:rsidR="00CD2F9B" w:rsidRPr="0090271D">
        <w:rPr>
          <w:rFonts w:ascii="Times New Roman" w:hAnsi="Times New Roman"/>
          <w:sz w:val="24"/>
          <w:szCs w:val="24"/>
        </w:rPr>
        <w:t>є</w:t>
      </w:r>
      <w:r w:rsidRPr="0090271D">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і повернути Балансоутримувачу примірник договору;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90271D" w:rsidRDefault="00C72A36" w:rsidP="00C72A36">
      <w:pPr>
        <w:pStyle w:val="a4"/>
        <w:jc w:val="both"/>
        <w:rPr>
          <w:rFonts w:ascii="Times New Roman" w:hAnsi="Times New Roman"/>
          <w:sz w:val="24"/>
          <w:szCs w:val="24"/>
        </w:rPr>
      </w:pPr>
      <w:bookmarkStart w:id="1" w:name="_heading=h.1fob9te"/>
      <w:bookmarkEnd w:id="1"/>
      <w:r w:rsidRPr="0090271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90271D">
        <w:rPr>
          <w:rFonts w:ascii="Times New Roman" w:hAnsi="Times New Roman"/>
          <w:sz w:val="24"/>
          <w:szCs w:val="24"/>
        </w:rPr>
        <w:t>власника</w:t>
      </w:r>
      <w:r w:rsidRPr="0090271D">
        <w:rPr>
          <w:rFonts w:ascii="Times New Roman" w:hAnsi="Times New Roman"/>
          <w:sz w:val="24"/>
          <w:szCs w:val="24"/>
        </w:rPr>
        <w:t xml:space="preserve"> за охоронним договором, який є додатком до цього договору.</w:t>
      </w:r>
    </w:p>
    <w:p w:rsidR="00C72A36" w:rsidRPr="0090271D" w:rsidRDefault="00C72A36" w:rsidP="007450DF">
      <w:pPr>
        <w:pStyle w:val="a4"/>
        <w:jc w:val="both"/>
        <w:rPr>
          <w:rFonts w:ascii="Times New Roman" w:hAnsi="Times New Roman"/>
          <w:sz w:val="24"/>
          <w:szCs w:val="24"/>
        </w:rPr>
      </w:pPr>
      <w:r w:rsidRPr="0090271D">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________________________ Орендар зобов’язаний</w:t>
      </w:r>
      <w:r w:rsidRPr="0090271D">
        <w:rPr>
          <w:rFonts w:ascii="Times New Roman" w:hAnsi="Times New Roman"/>
          <w:sz w:val="24"/>
          <w:szCs w:val="24"/>
        </w:rPr>
        <w:br/>
        <w:t xml:space="preserve">                                                     (період)</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7.1.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90271D">
        <w:rPr>
          <w:rFonts w:ascii="Times New Roman" w:hAnsi="Times New Roman"/>
          <w:sz w:val="24"/>
          <w:szCs w:val="24"/>
        </w:rPr>
        <w:t xml:space="preserve">рахової вартості, визначеної у </w:t>
      </w:r>
      <w:r w:rsidRPr="0090271D">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Оплата послуг страховика здійснюється за рахунок Орендаря (страхувальника).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Суборенда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90271D">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8.1. (2) Орендар не має права передавати Майно в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lang w:val="ru-RU"/>
        </w:rPr>
      </w:pPr>
      <w:r w:rsidRPr="0090271D">
        <w:rPr>
          <w:rFonts w:ascii="Times New Roman" w:hAnsi="Times New Roman"/>
          <w:sz w:val="24"/>
          <w:szCs w:val="24"/>
        </w:rPr>
        <w:t>8.1. (3) Орендар має право здавати Майно в суборенду за письмовою згодою Орендодавця</w:t>
      </w:r>
      <w:r w:rsidRPr="0090271D">
        <w:rPr>
          <w:rFonts w:ascii="Times New Roman" w:hAnsi="Times New Roman"/>
          <w:sz w:val="24"/>
          <w:szCs w:val="24"/>
          <w:lang w:val="ru-RU"/>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є договором типу 5.1 (Г)</w:t>
      </w:r>
      <w:r w:rsidRPr="0090271D">
        <w:rPr>
          <w:rFonts w:ascii="Times New Roman" w:hAnsi="Times New Roman"/>
          <w:sz w:val="24"/>
          <w:szCs w:val="24"/>
          <w:lang w:val="en-US"/>
        </w:rPr>
        <w:t>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передбачав право Орендаря на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Запевнення сторін</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 Балансоутримувач і Орендодавець запевняють Орендаря, 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Додаткові умови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Відповідальність і вирішення спорів за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90271D">
        <w:rPr>
          <w:rFonts w:ascii="Times New Roman" w:hAnsi="Times New Roman"/>
          <w:sz w:val="24"/>
          <w:szCs w:val="24"/>
        </w:rPr>
        <w:t>комуналь</w:t>
      </w:r>
      <w:r w:rsidRPr="0090271D">
        <w:rPr>
          <w:rFonts w:ascii="Times New Roman" w:hAnsi="Times New Roman"/>
          <w:sz w:val="24"/>
          <w:szCs w:val="24"/>
        </w:rPr>
        <w:t>не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Строк чинності, умови зміни та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90271D">
        <w:rPr>
          <w:rFonts w:ascii="Times New Roman" w:hAnsi="Times New Roman"/>
          <w:sz w:val="24"/>
          <w:szCs w:val="24"/>
        </w:rPr>
        <w:t>комуналь</w:t>
      </w:r>
      <w:r w:rsidRPr="0090271D">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90271D">
        <w:rPr>
          <w:rFonts w:ascii="Times New Roman" w:hAnsi="Times New Roman"/>
          <w:sz w:val="24"/>
          <w:szCs w:val="24"/>
        </w:rPr>
        <w:t>комуналь</w:t>
      </w:r>
      <w:r w:rsidRPr="0090271D">
        <w:rPr>
          <w:rFonts w:ascii="Times New Roman" w:hAnsi="Times New Roman"/>
          <w:sz w:val="24"/>
          <w:szCs w:val="24"/>
        </w:rPr>
        <w:t>ного підприємства, на балансі якого перебуває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90271D">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 Договір припиняється: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 з підстав, передбачених частиною першою статті 24 Закону, і при цьому: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90271D" w:rsidRDefault="00C72A36" w:rsidP="00C72A36">
      <w:pPr>
        <w:ind w:firstLine="567"/>
        <w:jc w:val="both"/>
        <w:rPr>
          <w:rFonts w:ascii="Times New Roman" w:hAnsi="Times New Roman"/>
          <w:sz w:val="24"/>
          <w:szCs w:val="24"/>
        </w:rPr>
      </w:pPr>
      <w:r w:rsidRPr="0090271D">
        <w:rPr>
          <w:rFonts w:ascii="Times New Roman" w:hAnsi="Times New Roman"/>
          <w:sz w:val="24"/>
          <w:szCs w:val="24"/>
        </w:rPr>
        <w:t>дати закінчення строку, на який його було укладено, на підставі рішення Орендодавця (</w:t>
      </w:r>
      <w:r w:rsidR="002338B6" w:rsidRPr="0090271D">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90271D">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90271D">
        <w:rPr>
          <w:rFonts w:ascii="Times New Roman" w:hAnsi="Times New Roman"/>
          <w:sz w:val="24"/>
          <w:szCs w:val="24"/>
          <w:lang w:val="en-US"/>
        </w:rPr>
        <w:t> </w:t>
      </w:r>
      <w:r w:rsidRPr="0090271D">
        <w:rPr>
          <w:rFonts w:ascii="Times New Roman" w:hAnsi="Times New Roman"/>
          <w:sz w:val="24"/>
          <w:szCs w:val="24"/>
        </w:rPr>
        <w:t>— на підставі протоколу аукціону (рішення Орендодавця не вимагається);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90271D">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такому разі договір вважається припиненим: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набрання законної сили рішенням суду про відмову у позові Орендаря;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12.7.4. уклав договір суборенди з особами, які не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12.7.6. порушує додаткові умови оренди, зазначені у пункті 14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 Цей договір може бути достроково припинений на вимогу Орендаря, якщо: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90271D">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90271D">
        <w:rPr>
          <w:rFonts w:ascii="Times New Roman" w:hAnsi="Times New Roman"/>
          <w:sz w:val="24"/>
          <w:szCs w:val="24"/>
        </w:rPr>
        <w:t xml:space="preserve">, </w:t>
      </w:r>
      <w:r w:rsidRPr="0090271D">
        <w:rPr>
          <w:rFonts w:ascii="Times New Roman" w:hAnsi="Times New Roman"/>
          <w:sz w:val="24"/>
          <w:szCs w:val="24"/>
        </w:rPr>
        <w:t xml:space="preserve">Балансоутримувачу </w:t>
      </w:r>
      <w:r w:rsidR="00EC3959" w:rsidRPr="0090271D">
        <w:rPr>
          <w:rFonts w:ascii="Times New Roman" w:hAnsi="Times New Roman"/>
          <w:sz w:val="24"/>
          <w:szCs w:val="24"/>
        </w:rPr>
        <w:t xml:space="preserve"> та Департаменту комунальних ресурсів Івано-Франківської міської ради </w:t>
      </w:r>
      <w:r w:rsidRPr="0090271D">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90271D" w:rsidRDefault="00D66F38" w:rsidP="00C72A36">
      <w:pPr>
        <w:pStyle w:val="a4"/>
        <w:jc w:val="both"/>
        <w:rPr>
          <w:rFonts w:ascii="Times New Roman" w:hAnsi="Times New Roman"/>
          <w:sz w:val="24"/>
          <w:szCs w:val="24"/>
        </w:rPr>
      </w:pPr>
      <w:r w:rsidRPr="0090271D">
        <w:rPr>
          <w:rFonts w:ascii="Times New Roman" w:hAnsi="Times New Roman"/>
          <w:sz w:val="24"/>
          <w:szCs w:val="24"/>
        </w:rPr>
        <w:t xml:space="preserve"> Департамент комунальних ресурсів Івано-Франківської міської ради </w:t>
      </w:r>
      <w:r w:rsidR="00C72A36" w:rsidRPr="0090271D">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12.11. У разі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0271D">
        <w:rPr>
          <w:rFonts w:ascii="Times New Roman" w:hAnsi="Times New Roman"/>
          <w:sz w:val="24"/>
          <w:szCs w:val="24"/>
          <w:lang w:val="ru-RU"/>
        </w:rPr>
        <w:t>—</w:t>
      </w:r>
      <w:r w:rsidRPr="0090271D">
        <w:rPr>
          <w:rFonts w:ascii="Times New Roman" w:hAnsi="Times New Roman"/>
          <w:sz w:val="24"/>
          <w:szCs w:val="24"/>
        </w:rPr>
        <w:t xml:space="preserve">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 xml:space="preserve"> та їх вартість компенсації не підлягає.</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pacing w:val="-4"/>
          <w:sz w:val="24"/>
          <w:szCs w:val="24"/>
        </w:rPr>
        <w:t xml:space="preserve">12.12. Майно вважається поверненим Орендодавцю/ Балансоутримувачу </w:t>
      </w:r>
      <w:r w:rsidRPr="0090271D">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Інше</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90271D">
        <w:rPr>
          <w:rFonts w:ascii="Times New Roman" w:hAnsi="Times New Roman"/>
          <w:sz w:val="24"/>
          <w:szCs w:val="24"/>
        </w:rPr>
        <w:t>комунальн</w:t>
      </w:r>
      <w:r w:rsidRPr="0090271D">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сторони Орендаря набуває чинності з дня внесення змін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Орендаря інша, ніж передбачена цим пунктом, не допускається.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90271D" w:rsidTr="00304342">
        <w:trPr>
          <w:trHeight w:val="333"/>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Орендаря: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315"/>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Орендодавця: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420"/>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 xml:space="preserve">Від Балансоутримувача: </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bl>
    <w:p w:rsidR="00C72A36" w:rsidRPr="0090271D" w:rsidRDefault="00C72A36" w:rsidP="00C72A36">
      <w:pPr>
        <w:pStyle w:val="a4"/>
        <w:ind w:firstLine="0"/>
        <w:jc w:val="center"/>
        <w:rPr>
          <w:rFonts w:ascii="Times New Roman" w:hAnsi="Times New Roman"/>
          <w:sz w:val="24"/>
          <w:szCs w:val="24"/>
        </w:rPr>
      </w:pPr>
    </w:p>
    <w:p w:rsidR="00DC64C3" w:rsidRPr="0090271D" w:rsidRDefault="00DC64C3" w:rsidP="009803ED">
      <w:pPr>
        <w:pStyle w:val="3"/>
        <w:keepNext w:val="0"/>
        <w:widowControl w:val="0"/>
        <w:ind w:left="0"/>
        <w:jc w:val="center"/>
        <w:rPr>
          <w:rFonts w:ascii="Times New Roman" w:hAnsi="Times New Roman"/>
          <w:b w:val="0"/>
          <w:i w:val="0"/>
          <w:sz w:val="24"/>
          <w:szCs w:val="24"/>
        </w:rPr>
      </w:pPr>
    </w:p>
    <w:sectPr w:rsidR="00DC64C3" w:rsidRPr="0090271D"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66" w:rsidRDefault="00985E66">
      <w:r>
        <w:separator/>
      </w:r>
    </w:p>
  </w:endnote>
  <w:endnote w:type="continuationSeparator" w:id="0">
    <w:p w:rsidR="00985E66" w:rsidRDefault="009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66" w:rsidRDefault="00985E66">
      <w:r>
        <w:separator/>
      </w:r>
    </w:p>
  </w:footnote>
  <w:footnote w:type="continuationSeparator" w:id="0">
    <w:p w:rsidR="00985E66" w:rsidRDefault="00985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Default="000B2A3F">
    <w:pPr>
      <w:framePr w:wrap="around" w:vAnchor="text" w:hAnchor="margin" w:xAlign="center" w:y="1"/>
    </w:pPr>
    <w:r>
      <w:rPr>
        <w:noProof/>
      </w:rPr>
      <w:fldChar w:fldCharType="begin"/>
    </w:r>
    <w:r w:rsidR="00605606">
      <w:rPr>
        <w:noProof/>
      </w:rPr>
      <w:instrText xml:space="preserve">PAGE  </w:instrText>
    </w:r>
    <w:r>
      <w:rPr>
        <w:noProof/>
      </w:rPr>
      <w:fldChar w:fldCharType="separate"/>
    </w:r>
    <w:r w:rsidR="00605606">
      <w:rPr>
        <w:noProof/>
      </w:rPr>
      <w:t>1</w:t>
    </w:r>
    <w:r>
      <w:rPr>
        <w:noProof/>
      </w:rPr>
      <w:fldChar w:fldCharType="end"/>
    </w:r>
  </w:p>
  <w:p w:rsidR="00605606" w:rsidRDefault="006056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Pr="00376909" w:rsidRDefault="000B2A3F">
    <w:pPr>
      <w:framePr w:wrap="around" w:vAnchor="text" w:hAnchor="margin" w:xAlign="center" w:y="1"/>
      <w:rPr>
        <w:rFonts w:ascii="Times New Roman" w:hAnsi="Times New Roman"/>
      </w:rPr>
    </w:pPr>
    <w:r w:rsidRPr="00376909">
      <w:rPr>
        <w:rFonts w:ascii="Times New Roman" w:hAnsi="Times New Roman"/>
      </w:rPr>
      <w:fldChar w:fldCharType="begin"/>
    </w:r>
    <w:r w:rsidR="00605606" w:rsidRPr="00376909">
      <w:rPr>
        <w:rFonts w:ascii="Times New Roman" w:hAnsi="Times New Roman"/>
      </w:rPr>
      <w:instrText xml:space="preserve">PAGE  </w:instrText>
    </w:r>
    <w:r w:rsidRPr="00376909">
      <w:rPr>
        <w:rFonts w:ascii="Times New Roman" w:hAnsi="Times New Roman"/>
      </w:rPr>
      <w:fldChar w:fldCharType="separate"/>
    </w:r>
    <w:r w:rsidR="00AC1AE2">
      <w:rPr>
        <w:rFonts w:ascii="Times New Roman" w:hAnsi="Times New Roman"/>
        <w:noProof/>
      </w:rPr>
      <w:t>2</w:t>
    </w:r>
    <w:r w:rsidRPr="00376909">
      <w:rPr>
        <w:rFonts w:ascii="Times New Roman" w:hAnsi="Times New Roman"/>
      </w:rPr>
      <w:fldChar w:fldCharType="end"/>
    </w:r>
  </w:p>
  <w:p w:rsidR="00605606" w:rsidRDefault="006056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B2A3F"/>
    <w:rsid w:val="000E7997"/>
    <w:rsid w:val="000F0C1F"/>
    <w:rsid w:val="000F1C40"/>
    <w:rsid w:val="000F21B2"/>
    <w:rsid w:val="00115C23"/>
    <w:rsid w:val="001335C8"/>
    <w:rsid w:val="00152EB6"/>
    <w:rsid w:val="00174049"/>
    <w:rsid w:val="00185C91"/>
    <w:rsid w:val="00195BE2"/>
    <w:rsid w:val="00197611"/>
    <w:rsid w:val="001A5FC5"/>
    <w:rsid w:val="001C1836"/>
    <w:rsid w:val="001C29BE"/>
    <w:rsid w:val="00210F96"/>
    <w:rsid w:val="00216FA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431DD"/>
    <w:rsid w:val="003514D8"/>
    <w:rsid w:val="00355BCC"/>
    <w:rsid w:val="00356324"/>
    <w:rsid w:val="003608E0"/>
    <w:rsid w:val="00376909"/>
    <w:rsid w:val="003801A3"/>
    <w:rsid w:val="003A0803"/>
    <w:rsid w:val="003B2875"/>
    <w:rsid w:val="003D0B02"/>
    <w:rsid w:val="00413384"/>
    <w:rsid w:val="004157A2"/>
    <w:rsid w:val="00425CB2"/>
    <w:rsid w:val="00437D83"/>
    <w:rsid w:val="00472B43"/>
    <w:rsid w:val="00493BDB"/>
    <w:rsid w:val="004A1E39"/>
    <w:rsid w:val="004C29EB"/>
    <w:rsid w:val="004D7D57"/>
    <w:rsid w:val="00525BBB"/>
    <w:rsid w:val="005265E4"/>
    <w:rsid w:val="00534E6D"/>
    <w:rsid w:val="00543BFF"/>
    <w:rsid w:val="00544E1A"/>
    <w:rsid w:val="00545539"/>
    <w:rsid w:val="0054789C"/>
    <w:rsid w:val="00594FAF"/>
    <w:rsid w:val="005A1BDC"/>
    <w:rsid w:val="005A47D9"/>
    <w:rsid w:val="005B09A7"/>
    <w:rsid w:val="005E3664"/>
    <w:rsid w:val="005F0DA9"/>
    <w:rsid w:val="005F3359"/>
    <w:rsid w:val="005F7DB3"/>
    <w:rsid w:val="00602A82"/>
    <w:rsid w:val="00605606"/>
    <w:rsid w:val="00624A65"/>
    <w:rsid w:val="0063408E"/>
    <w:rsid w:val="00636ABD"/>
    <w:rsid w:val="0064693F"/>
    <w:rsid w:val="00650AD5"/>
    <w:rsid w:val="006803D8"/>
    <w:rsid w:val="006A4971"/>
    <w:rsid w:val="006B3CEF"/>
    <w:rsid w:val="006B5A4A"/>
    <w:rsid w:val="006C4D7B"/>
    <w:rsid w:val="006F561C"/>
    <w:rsid w:val="00706364"/>
    <w:rsid w:val="007178DF"/>
    <w:rsid w:val="007349A6"/>
    <w:rsid w:val="007450DF"/>
    <w:rsid w:val="007630CA"/>
    <w:rsid w:val="00765084"/>
    <w:rsid w:val="00770315"/>
    <w:rsid w:val="00770EA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46243"/>
    <w:rsid w:val="00850D80"/>
    <w:rsid w:val="0086106C"/>
    <w:rsid w:val="00862D32"/>
    <w:rsid w:val="008729FD"/>
    <w:rsid w:val="00886A99"/>
    <w:rsid w:val="00892B28"/>
    <w:rsid w:val="008A771D"/>
    <w:rsid w:val="008B6893"/>
    <w:rsid w:val="008D77FB"/>
    <w:rsid w:val="008F043B"/>
    <w:rsid w:val="0090271D"/>
    <w:rsid w:val="00902AD8"/>
    <w:rsid w:val="00903CEC"/>
    <w:rsid w:val="009175E2"/>
    <w:rsid w:val="00920179"/>
    <w:rsid w:val="00945563"/>
    <w:rsid w:val="00964118"/>
    <w:rsid w:val="009641FB"/>
    <w:rsid w:val="0097180E"/>
    <w:rsid w:val="009725ED"/>
    <w:rsid w:val="00976001"/>
    <w:rsid w:val="009803ED"/>
    <w:rsid w:val="009828C0"/>
    <w:rsid w:val="009831E7"/>
    <w:rsid w:val="00985E66"/>
    <w:rsid w:val="009A6EE1"/>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C1AE2"/>
    <w:rsid w:val="00AD448D"/>
    <w:rsid w:val="00B008F9"/>
    <w:rsid w:val="00B051C9"/>
    <w:rsid w:val="00B17F8A"/>
    <w:rsid w:val="00B24ECA"/>
    <w:rsid w:val="00B25741"/>
    <w:rsid w:val="00B47D1A"/>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488"/>
    <w:rsid w:val="00CB4F25"/>
    <w:rsid w:val="00CD2F9B"/>
    <w:rsid w:val="00CD30F7"/>
    <w:rsid w:val="00CD4DE7"/>
    <w:rsid w:val="00D02231"/>
    <w:rsid w:val="00D03D86"/>
    <w:rsid w:val="00D054D5"/>
    <w:rsid w:val="00D1244F"/>
    <w:rsid w:val="00D17458"/>
    <w:rsid w:val="00D2217F"/>
    <w:rsid w:val="00D25EC4"/>
    <w:rsid w:val="00D411B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2FAF12"/>
  <w15:docId w15:val="{C568DEE6-3A44-48E2-9B7B-F859C28C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7">
    <w:name w:val="rvts7"/>
    <w:uiPriority w:val="99"/>
    <w:rsid w:val="00CD4DE7"/>
  </w:style>
  <w:style w:type="character" w:customStyle="1" w:styleId="rvts9">
    <w:name w:val="rvts9"/>
    <w:uiPriority w:val="99"/>
    <w:rsid w:val="00CD4DE7"/>
  </w:style>
  <w:style w:type="character" w:customStyle="1" w:styleId="rvts18">
    <w:name w:val="rvts18"/>
    <w:basedOn w:val="a0"/>
    <w:uiPriority w:val="99"/>
    <w:rsid w:val="00770EA5"/>
    <w:rPr>
      <w:rFonts w:cs="Times New Roman"/>
    </w:rPr>
  </w:style>
  <w:style w:type="paragraph" w:styleId="af1">
    <w:name w:val="Normal (Web)"/>
    <w:basedOn w:val="a"/>
    <w:uiPriority w:val="99"/>
    <w:unhideWhenUsed/>
    <w:rsid w:val="0076508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4if@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0E02-E3D0-4324-BB90-5A9AE24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33784</Words>
  <Characters>19257</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14</cp:revision>
  <cp:lastPrinted>2002-04-19T12:13:00Z</cp:lastPrinted>
  <dcterms:created xsi:type="dcterms:W3CDTF">2020-10-22T16:09:00Z</dcterms:created>
  <dcterms:modified xsi:type="dcterms:W3CDTF">2020-10-23T12:35:00Z</dcterms:modified>
</cp:coreProperties>
</file>