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7DFE" w14:textId="2F9500E6"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14:paraId="2C7C3DE9" w14:textId="31A8B0D7" w:rsidR="00CA622C" w:rsidRPr="004F7859" w:rsidRDefault="00CA622C" w:rsidP="00CA622C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52426E">
        <w:rPr>
          <w:rFonts w:ascii="Times New Roman" w:hAnsi="Times New Roman" w:cs="Times New Roman"/>
          <w:bCs/>
          <w:sz w:val="24"/>
          <w:szCs w:val="24"/>
          <w:lang w:val="uk-UA"/>
        </w:rPr>
        <w:t>№ </w:t>
      </w:r>
      <w:r w:rsidR="004E29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 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14:paraId="355FD5CF" w14:textId="2A1349A7" w:rsidR="008C6D44" w:rsidRDefault="008C6D44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0FD533A" w14:textId="516E9D74" w:rsidR="00E47736" w:rsidRDefault="00E4773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B9B4CA0" w14:textId="2FD755AA" w:rsidR="00E47736" w:rsidRDefault="00E4773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2FE35CB" w14:textId="77777777" w:rsidR="00E47736" w:rsidRDefault="00E4773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6F4C88D" w14:textId="77777777" w:rsidR="00AB0FB6" w:rsidRDefault="00AB0FB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7BE78E0" w14:textId="77777777"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14:paraId="7130174B" w14:textId="77777777" w:rsidR="008C6D44" w:rsidRDefault="00853680" w:rsidP="008C6D4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E3FE6" w:rsidRP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цокольного поверху</w:t>
      </w:r>
      <w:r w:rsidR="001E3FE6" w:rsidRP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C6D44" w:rsidRP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житловому будинку</w:t>
      </w:r>
    </w:p>
    <w:p w14:paraId="5CFA83FE" w14:textId="77777777" w:rsidR="000C29B1" w:rsidRDefault="005975B8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1E3FE6" w:rsidRP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93,4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1E3FE6" w:rsidRPr="001E3F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роспект Науки, буд. 41/43</w:t>
      </w:r>
    </w:p>
    <w:p w14:paraId="11A688E8" w14:textId="77777777" w:rsidR="001E3FE6" w:rsidRPr="00274CFC" w:rsidRDefault="001E3FE6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14:paraId="6133FE41" w14:textId="77777777" w:rsidTr="00833EBF">
        <w:trPr>
          <w:cantSplit/>
        </w:trPr>
        <w:tc>
          <w:tcPr>
            <w:tcW w:w="6451" w:type="dxa"/>
          </w:tcPr>
          <w:bookmarkEnd w:id="2"/>
          <w:p w14:paraId="3CDEF9C2" w14:textId="77777777"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14:paraId="51205A46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14:paraId="0E3BDC8B" w14:textId="77777777" w:rsidTr="00833EBF">
        <w:trPr>
          <w:cantSplit/>
        </w:trPr>
        <w:tc>
          <w:tcPr>
            <w:tcW w:w="6451" w:type="dxa"/>
          </w:tcPr>
          <w:p w14:paraId="22ADE0C0" w14:textId="77777777"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14:paraId="0393F720" w14:textId="77777777" w:rsidR="00994FDA" w:rsidRDefault="001D75CC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1D75CC">
              <w:rPr>
                <w:sz w:val="26"/>
                <w:szCs w:val="26"/>
              </w:rPr>
              <w:t xml:space="preserve">Нежитлові приміщення </w:t>
            </w:r>
            <w:bookmarkStart w:id="3" w:name="_Hlk70423117"/>
            <w:r w:rsidRPr="001D75CC">
              <w:rPr>
                <w:sz w:val="26"/>
                <w:szCs w:val="26"/>
              </w:rPr>
              <w:t>цокольного поверху № І-:-V в житловому будинку літ. "А-9"</w:t>
            </w:r>
            <w:r w:rsidRPr="00FA0953">
              <w:rPr>
                <w:sz w:val="26"/>
                <w:szCs w:val="26"/>
              </w:rPr>
              <w:t xml:space="preserve"> </w:t>
            </w:r>
            <w:r w:rsidR="000C29B1" w:rsidRPr="00FA0953">
              <w:rPr>
                <w:sz w:val="26"/>
                <w:szCs w:val="26"/>
              </w:rPr>
              <w:t xml:space="preserve">загальною площею </w:t>
            </w:r>
            <w:r w:rsidRPr="001D75CC">
              <w:rPr>
                <w:sz w:val="26"/>
                <w:szCs w:val="26"/>
              </w:rPr>
              <w:t>93</w:t>
            </w:r>
            <w:r w:rsidR="00AB430B">
              <w:rPr>
                <w:sz w:val="26"/>
                <w:szCs w:val="26"/>
              </w:rPr>
              <w:t>,</w:t>
            </w:r>
            <w:r w:rsidRPr="001D75CC">
              <w:rPr>
                <w:sz w:val="26"/>
                <w:szCs w:val="26"/>
              </w:rPr>
              <w:t>4</w:t>
            </w:r>
            <w:r w:rsidRPr="00FA0953">
              <w:rPr>
                <w:sz w:val="26"/>
                <w:szCs w:val="26"/>
              </w:rPr>
              <w:t xml:space="preserve"> </w:t>
            </w:r>
            <w:proofErr w:type="spellStart"/>
            <w:r w:rsidR="000C29B1" w:rsidRPr="00FA0953">
              <w:rPr>
                <w:sz w:val="26"/>
                <w:szCs w:val="26"/>
              </w:rPr>
              <w:t>кв.м</w:t>
            </w:r>
            <w:proofErr w:type="spellEnd"/>
            <w:r w:rsidR="000C29B1" w:rsidRPr="00FA0953">
              <w:rPr>
                <w:sz w:val="26"/>
                <w:szCs w:val="26"/>
              </w:rPr>
              <w:t xml:space="preserve"> 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Шевченківському</w:t>
            </w:r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Pr="001D75CC">
              <w:rPr>
                <w:sz w:val="26"/>
                <w:szCs w:val="26"/>
              </w:rPr>
              <w:t>проспект Науки, буд. 41/43</w:t>
            </w:r>
            <w:bookmarkEnd w:id="3"/>
            <w:r w:rsidR="00AF5CAD" w:rsidRPr="004E4A5A">
              <w:rPr>
                <w:sz w:val="26"/>
                <w:szCs w:val="26"/>
              </w:rPr>
              <w:t>.</w:t>
            </w:r>
          </w:p>
          <w:p w14:paraId="5E7C4424" w14:textId="77777777" w:rsidR="00C67755" w:rsidRPr="004E4A5A" w:rsidRDefault="008C3A91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Рік побудови – 19</w:t>
            </w:r>
            <w:r w:rsidR="0011483B">
              <w:rPr>
                <w:sz w:val="26"/>
                <w:szCs w:val="26"/>
              </w:rPr>
              <w:t>6</w:t>
            </w:r>
            <w:r w:rsidR="00994FDA">
              <w:rPr>
                <w:sz w:val="26"/>
                <w:szCs w:val="26"/>
              </w:rPr>
              <w:t>5</w:t>
            </w:r>
            <w:r w:rsidR="00C04B71" w:rsidRPr="004E4A5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</w:p>
          <w:p w14:paraId="604EF7C9" w14:textId="77777777" w:rsidR="0011483B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</w:t>
            </w:r>
            <w:r w:rsidR="00552E04" w:rsidRPr="004E4A5A">
              <w:rPr>
                <w:sz w:val="26"/>
                <w:szCs w:val="26"/>
              </w:rPr>
              <w:t xml:space="preserve">хід </w:t>
            </w:r>
            <w:r w:rsidR="00C67755" w:rsidRPr="004E4A5A">
              <w:rPr>
                <w:sz w:val="26"/>
                <w:szCs w:val="26"/>
              </w:rPr>
              <w:t>до</w:t>
            </w:r>
            <w:r w:rsidR="00AA13EE" w:rsidRPr="004E4A5A">
              <w:rPr>
                <w:sz w:val="26"/>
                <w:szCs w:val="26"/>
              </w:rPr>
              <w:t xml:space="preserve"> приміщен</w:t>
            </w:r>
            <w:r w:rsidR="00C67755" w:rsidRPr="004E4A5A">
              <w:rPr>
                <w:sz w:val="26"/>
                <w:szCs w:val="26"/>
              </w:rPr>
              <w:t>ь</w:t>
            </w:r>
            <w:r w:rsidR="00AA13EE" w:rsidRPr="004E4A5A">
              <w:rPr>
                <w:sz w:val="26"/>
                <w:szCs w:val="26"/>
              </w:rPr>
              <w:t xml:space="preserve"> </w:t>
            </w:r>
            <w:r w:rsidR="00F048E7" w:rsidRPr="004E4A5A">
              <w:rPr>
                <w:sz w:val="26"/>
                <w:szCs w:val="26"/>
              </w:rPr>
              <w:t>окремий</w:t>
            </w:r>
            <w:r w:rsidR="00C15DE5" w:rsidRPr="004E4A5A">
              <w:rPr>
                <w:sz w:val="26"/>
                <w:szCs w:val="26"/>
              </w:rPr>
              <w:t>. Планування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4" w:name="_Hlk6389308"/>
          </w:p>
          <w:p w14:paraId="5084CAA3" w14:textId="77777777" w:rsidR="009E6A5E" w:rsidRPr="00FA0953" w:rsidRDefault="003C5BAA" w:rsidP="009E6A5E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Фундамент</w:t>
            </w:r>
            <w:r w:rsidR="00994FDA" w:rsidRPr="004E4A5A">
              <w:rPr>
                <w:sz w:val="26"/>
                <w:szCs w:val="26"/>
              </w:rPr>
              <w:t>–</w:t>
            </w:r>
            <w:r w:rsidR="00994FDA">
              <w:rPr>
                <w:sz w:val="26"/>
                <w:szCs w:val="26"/>
              </w:rPr>
              <w:t xml:space="preserve"> бетонні блоки, перекриття </w:t>
            </w:r>
            <w:r w:rsidR="00994FDA" w:rsidRPr="004E4A5A">
              <w:rPr>
                <w:sz w:val="26"/>
                <w:szCs w:val="26"/>
              </w:rPr>
              <w:t>–</w:t>
            </w:r>
            <w:r w:rsidR="00994FDA">
              <w:rPr>
                <w:sz w:val="26"/>
                <w:szCs w:val="26"/>
              </w:rPr>
              <w:t xml:space="preserve"> залізобетонні плити</w:t>
            </w:r>
            <w:r w:rsidR="000C10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0C1073">
              <w:rPr>
                <w:sz w:val="26"/>
                <w:szCs w:val="26"/>
              </w:rPr>
              <w:t>С</w:t>
            </w:r>
            <w:r w:rsidR="00A227D2" w:rsidRPr="004E4A5A">
              <w:rPr>
                <w:sz w:val="26"/>
                <w:szCs w:val="26"/>
              </w:rPr>
              <w:t>тіни– цегляні,</w:t>
            </w:r>
            <w:r w:rsidR="00ED2B9F">
              <w:rPr>
                <w:sz w:val="26"/>
                <w:szCs w:val="26"/>
              </w:rPr>
              <w:t xml:space="preserve"> </w:t>
            </w:r>
            <w:r w:rsidR="0011483B">
              <w:rPr>
                <w:sz w:val="26"/>
                <w:szCs w:val="26"/>
              </w:rPr>
              <w:t>поштукатурені, покрашені, частково оздоблені пластиком</w:t>
            </w:r>
            <w:r w:rsidR="000C1073">
              <w:rPr>
                <w:sz w:val="26"/>
                <w:szCs w:val="26"/>
              </w:rPr>
              <w:t>.</w:t>
            </w:r>
            <w:r w:rsidR="0011483B">
              <w:rPr>
                <w:sz w:val="26"/>
                <w:szCs w:val="26"/>
              </w:rPr>
              <w:t xml:space="preserve"> </w:t>
            </w:r>
            <w:r w:rsidR="000C1073">
              <w:rPr>
                <w:sz w:val="26"/>
                <w:szCs w:val="26"/>
              </w:rPr>
              <w:t>П</w:t>
            </w:r>
            <w:r w:rsidR="00EF2171" w:rsidRPr="004E4A5A">
              <w:rPr>
                <w:sz w:val="26"/>
                <w:szCs w:val="26"/>
              </w:rPr>
              <w:t>ідлога</w:t>
            </w:r>
            <w:r w:rsidR="000C1073" w:rsidRPr="004E4A5A">
              <w:rPr>
                <w:sz w:val="26"/>
                <w:szCs w:val="26"/>
              </w:rPr>
              <w:t>–</w:t>
            </w:r>
            <w:r w:rsidR="00EF2171" w:rsidRPr="004E4A5A">
              <w:rPr>
                <w:sz w:val="26"/>
                <w:szCs w:val="26"/>
              </w:rPr>
              <w:t xml:space="preserve"> </w:t>
            </w:r>
            <w:r w:rsidR="000C1073">
              <w:rPr>
                <w:sz w:val="26"/>
                <w:szCs w:val="26"/>
              </w:rPr>
              <w:t xml:space="preserve">бетонна, </w:t>
            </w:r>
            <w:r>
              <w:rPr>
                <w:sz w:val="26"/>
                <w:szCs w:val="26"/>
              </w:rPr>
              <w:t>дерев’яна, вхідні двері</w:t>
            </w:r>
            <w:r w:rsidRPr="004E4A5A">
              <w:rPr>
                <w:sz w:val="26"/>
                <w:szCs w:val="26"/>
              </w:rPr>
              <w:t>–</w:t>
            </w:r>
            <w:r w:rsidR="00A227D2" w:rsidRPr="004E4A5A">
              <w:rPr>
                <w:sz w:val="26"/>
                <w:szCs w:val="26"/>
              </w:rPr>
              <w:t xml:space="preserve"> </w:t>
            </w:r>
            <w:r w:rsidR="00994FDA">
              <w:rPr>
                <w:sz w:val="26"/>
                <w:szCs w:val="26"/>
              </w:rPr>
              <w:t>металеві</w:t>
            </w:r>
            <w:r>
              <w:rPr>
                <w:sz w:val="26"/>
                <w:szCs w:val="26"/>
              </w:rPr>
              <w:t>.</w:t>
            </w:r>
            <w:r w:rsidR="009E6A5E" w:rsidRPr="00D72098">
              <w:rPr>
                <w:sz w:val="26"/>
                <w:szCs w:val="26"/>
              </w:rPr>
              <w:t xml:space="preserve"> Приміщення потребують проведення ремонтних робіт.</w:t>
            </w:r>
          </w:p>
          <w:p w14:paraId="115EA948" w14:textId="77777777" w:rsidR="00400584" w:rsidRPr="001D75CC" w:rsidRDefault="00F048E7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D72098">
              <w:rPr>
                <w:sz w:val="26"/>
                <w:szCs w:val="26"/>
              </w:rPr>
              <w:t>В</w:t>
            </w:r>
            <w:r w:rsidR="00700E8A" w:rsidRPr="00D72098">
              <w:rPr>
                <w:sz w:val="26"/>
                <w:szCs w:val="26"/>
              </w:rPr>
              <w:t>одопостачання, водовідведення</w:t>
            </w:r>
            <w:r w:rsidR="00FA0953" w:rsidRPr="00D72098">
              <w:rPr>
                <w:sz w:val="26"/>
                <w:szCs w:val="26"/>
              </w:rPr>
              <w:t>,</w:t>
            </w:r>
            <w:r w:rsidR="000D6E16" w:rsidRPr="00D72098">
              <w:rPr>
                <w:sz w:val="26"/>
                <w:szCs w:val="26"/>
              </w:rPr>
              <w:t xml:space="preserve"> </w:t>
            </w:r>
            <w:r w:rsidR="00FA0953" w:rsidRPr="00D72098">
              <w:rPr>
                <w:sz w:val="26"/>
                <w:szCs w:val="26"/>
              </w:rPr>
              <w:t>електропостачання</w:t>
            </w:r>
            <w:r w:rsidR="003A7C68" w:rsidRPr="00D72098">
              <w:rPr>
                <w:sz w:val="26"/>
                <w:szCs w:val="26"/>
              </w:rPr>
              <w:t xml:space="preserve"> </w:t>
            </w:r>
            <w:r w:rsidR="00FA0953" w:rsidRPr="00D72098">
              <w:rPr>
                <w:sz w:val="26"/>
                <w:szCs w:val="26"/>
              </w:rPr>
              <w:t>є</w:t>
            </w:r>
            <w:r w:rsidR="00D72098" w:rsidRPr="00D72098">
              <w:rPr>
                <w:sz w:val="26"/>
                <w:szCs w:val="26"/>
              </w:rPr>
              <w:t>, знаход</w:t>
            </w:r>
            <w:r w:rsidR="000C1073">
              <w:rPr>
                <w:sz w:val="26"/>
                <w:szCs w:val="26"/>
              </w:rPr>
              <w:t>я</w:t>
            </w:r>
            <w:r w:rsidR="00D72098" w:rsidRPr="00D72098">
              <w:rPr>
                <w:sz w:val="26"/>
                <w:szCs w:val="26"/>
              </w:rPr>
              <w:t>ться в робочому стані</w:t>
            </w:r>
            <w:r w:rsidR="00EF2171" w:rsidRPr="00D72098">
              <w:rPr>
                <w:sz w:val="26"/>
                <w:szCs w:val="26"/>
              </w:rPr>
              <w:t>.</w:t>
            </w:r>
            <w:r w:rsidR="00AF5CAD" w:rsidRPr="00D72098">
              <w:rPr>
                <w:sz w:val="26"/>
                <w:szCs w:val="26"/>
              </w:rPr>
              <w:t xml:space="preserve"> </w:t>
            </w:r>
            <w:r w:rsidR="000C1073" w:rsidRPr="00D72098">
              <w:rPr>
                <w:sz w:val="26"/>
                <w:szCs w:val="26"/>
              </w:rPr>
              <w:t>Опалення від</w:t>
            </w:r>
            <w:r w:rsidR="000C1073">
              <w:rPr>
                <w:sz w:val="26"/>
                <w:szCs w:val="26"/>
              </w:rPr>
              <w:t>сутнє</w:t>
            </w:r>
            <w:r w:rsidR="000C1073" w:rsidRPr="00D72098">
              <w:rPr>
                <w:sz w:val="26"/>
                <w:szCs w:val="26"/>
              </w:rPr>
              <w:t xml:space="preserve">. </w:t>
            </w:r>
            <w:r w:rsidR="001A691C">
              <w:rPr>
                <w:sz w:val="26"/>
                <w:szCs w:val="26"/>
              </w:rPr>
              <w:t xml:space="preserve">Орендарем </w:t>
            </w:r>
            <w:r w:rsidR="001A691C" w:rsidRPr="007C1962">
              <w:rPr>
                <w:sz w:val="26"/>
                <w:szCs w:val="26"/>
              </w:rPr>
              <w:t>в</w:t>
            </w:r>
            <w:r w:rsidR="00400584" w:rsidRPr="007C1962">
              <w:rPr>
                <w:sz w:val="26"/>
                <w:szCs w:val="26"/>
              </w:rPr>
              <w:t>ідкрит</w:t>
            </w:r>
            <w:r w:rsidR="000C1073" w:rsidRPr="007C1962">
              <w:rPr>
                <w:sz w:val="26"/>
                <w:szCs w:val="26"/>
              </w:rPr>
              <w:t>і</w:t>
            </w:r>
            <w:r w:rsidR="00400584" w:rsidRPr="007C1962">
              <w:rPr>
                <w:sz w:val="26"/>
                <w:szCs w:val="26"/>
              </w:rPr>
              <w:t xml:space="preserve"> окрем</w:t>
            </w:r>
            <w:r w:rsidR="000C1073" w:rsidRPr="007C1962">
              <w:rPr>
                <w:sz w:val="26"/>
                <w:szCs w:val="26"/>
              </w:rPr>
              <w:t>і</w:t>
            </w:r>
            <w:r w:rsidR="00400584" w:rsidRPr="007C1962">
              <w:rPr>
                <w:sz w:val="26"/>
                <w:szCs w:val="26"/>
              </w:rPr>
              <w:t xml:space="preserve"> особов</w:t>
            </w:r>
            <w:r w:rsidR="000C1073" w:rsidRPr="007C1962">
              <w:rPr>
                <w:sz w:val="26"/>
                <w:szCs w:val="26"/>
              </w:rPr>
              <w:t>і</w:t>
            </w:r>
            <w:r w:rsidR="00400584" w:rsidRPr="007C1962">
              <w:rPr>
                <w:sz w:val="26"/>
                <w:szCs w:val="26"/>
              </w:rPr>
              <w:t xml:space="preserve"> рахунк</w:t>
            </w:r>
            <w:r w:rsidR="000C1073" w:rsidRPr="007C1962">
              <w:rPr>
                <w:sz w:val="26"/>
                <w:szCs w:val="26"/>
              </w:rPr>
              <w:t>и</w:t>
            </w:r>
            <w:r w:rsidR="00400584" w:rsidRPr="007C1962">
              <w:rPr>
                <w:sz w:val="26"/>
                <w:szCs w:val="26"/>
              </w:rPr>
              <w:t xml:space="preserve"> та договор</w:t>
            </w:r>
            <w:r w:rsidR="000C1073" w:rsidRPr="007C1962">
              <w:rPr>
                <w:sz w:val="26"/>
                <w:szCs w:val="26"/>
              </w:rPr>
              <w:t>и</w:t>
            </w:r>
            <w:r w:rsidR="00400584" w:rsidRPr="007C1962">
              <w:rPr>
                <w:sz w:val="26"/>
                <w:szCs w:val="26"/>
              </w:rPr>
              <w:t xml:space="preserve"> на постачання комунальних послуг</w:t>
            </w:r>
            <w:r w:rsidR="001A691C" w:rsidRPr="007C1962">
              <w:rPr>
                <w:sz w:val="26"/>
                <w:szCs w:val="26"/>
              </w:rPr>
              <w:t>,</w:t>
            </w:r>
            <w:r w:rsidR="001A691C">
              <w:rPr>
                <w:sz w:val="26"/>
                <w:szCs w:val="26"/>
              </w:rPr>
              <w:t xml:space="preserve"> а саме</w:t>
            </w:r>
            <w:r w:rsidR="007C1962">
              <w:rPr>
                <w:sz w:val="26"/>
                <w:szCs w:val="26"/>
              </w:rPr>
              <w:t>:</w:t>
            </w:r>
            <w:r w:rsidR="001A691C">
              <w:rPr>
                <w:sz w:val="26"/>
                <w:szCs w:val="26"/>
              </w:rPr>
              <w:t xml:space="preserve"> на відпуск та споживання води № 3630 від 01.04.2005, на приймання стічних вод </w:t>
            </w:r>
            <w:r w:rsidR="007C1962">
              <w:rPr>
                <w:sz w:val="26"/>
                <w:szCs w:val="26"/>
              </w:rPr>
              <w:br/>
            </w:r>
            <w:r w:rsidR="001A691C">
              <w:rPr>
                <w:sz w:val="26"/>
                <w:szCs w:val="26"/>
              </w:rPr>
              <w:t>№ ІІ- 1565/00-АК-2 від 08.08.2003, на постачання теплової енергії №298 від 01.03.2002,</w:t>
            </w:r>
            <w:r w:rsidR="007C1962">
              <w:rPr>
                <w:sz w:val="26"/>
                <w:szCs w:val="26"/>
              </w:rPr>
              <w:t xml:space="preserve"> з АТ «Харківобленерго» </w:t>
            </w:r>
            <w:r w:rsidR="001A691C">
              <w:rPr>
                <w:sz w:val="26"/>
                <w:szCs w:val="26"/>
              </w:rPr>
              <w:t>про постачання електричної енергії № 24470С  від 27.03.2004</w:t>
            </w:r>
            <w:r w:rsidR="007C1962">
              <w:rPr>
                <w:sz w:val="26"/>
                <w:szCs w:val="26"/>
              </w:rPr>
              <w:t>, з КП «</w:t>
            </w:r>
            <w:proofErr w:type="spellStart"/>
            <w:r w:rsidR="007C1962">
              <w:rPr>
                <w:sz w:val="26"/>
                <w:szCs w:val="26"/>
              </w:rPr>
              <w:t>Жилкомсервіс</w:t>
            </w:r>
            <w:proofErr w:type="spellEnd"/>
            <w:r w:rsidR="007C1962">
              <w:rPr>
                <w:sz w:val="26"/>
                <w:szCs w:val="26"/>
              </w:rPr>
              <w:t>» №1/344  від 01.06.2007, на вивіз ТБВ №АР 201 від 02.07.2012.</w:t>
            </w:r>
          </w:p>
          <w:p w14:paraId="7790EF5E" w14:textId="77777777"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5" w:name="_Hlk6389391"/>
            <w:bookmarkEnd w:id="4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0C1073">
              <w:t>1879498063101</w:t>
            </w:r>
            <w:r w:rsidR="00853680" w:rsidRPr="004E4A5A">
              <w:rPr>
                <w:sz w:val="26"/>
                <w:szCs w:val="26"/>
              </w:rPr>
              <w:t>.</w:t>
            </w:r>
            <w:bookmarkEnd w:id="5"/>
          </w:p>
        </w:tc>
      </w:tr>
      <w:tr w:rsidR="00853680" w:rsidRPr="008461A2" w14:paraId="34F12B27" w14:textId="77777777" w:rsidTr="00833EBF">
        <w:trPr>
          <w:cantSplit/>
        </w:trPr>
        <w:tc>
          <w:tcPr>
            <w:tcW w:w="6451" w:type="dxa"/>
          </w:tcPr>
          <w:p w14:paraId="2988697C" w14:textId="77777777"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14:paraId="71437B3B" w14:textId="631CABD3" w:rsidR="00853680" w:rsidRPr="00937961" w:rsidRDefault="007046E8" w:rsidP="00EC3F0B">
            <w:pPr>
              <w:pStyle w:val="a8"/>
              <w:ind w:firstLine="567"/>
              <w:rPr>
                <w:sz w:val="26"/>
                <w:szCs w:val="26"/>
              </w:rPr>
            </w:pPr>
            <w:bookmarkStart w:id="6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937961">
              <w:rPr>
                <w:sz w:val="26"/>
                <w:szCs w:val="26"/>
              </w:rPr>
              <w:t>знаход</w:t>
            </w:r>
            <w:r w:rsidR="00D504C9" w:rsidRPr="00937961">
              <w:rPr>
                <w:sz w:val="26"/>
                <w:szCs w:val="26"/>
              </w:rPr>
              <w:t>я</w:t>
            </w:r>
            <w:r w:rsidR="00853680" w:rsidRPr="00937961">
              <w:rPr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bookmarkStart w:id="7" w:name="_Hlk70422728"/>
            <w:r w:rsidR="000C1073">
              <w:rPr>
                <w:sz w:val="26"/>
                <w:szCs w:val="26"/>
              </w:rPr>
              <w:t>ТОВ фірм</w:t>
            </w:r>
            <w:r w:rsidR="00AB430B">
              <w:rPr>
                <w:sz w:val="26"/>
                <w:szCs w:val="26"/>
              </w:rPr>
              <w:t>и</w:t>
            </w:r>
            <w:r w:rsidR="000C1073">
              <w:rPr>
                <w:sz w:val="26"/>
                <w:szCs w:val="26"/>
              </w:rPr>
              <w:t xml:space="preserve"> </w:t>
            </w:r>
            <w:bookmarkStart w:id="8" w:name="_Hlk70422873"/>
            <w:r w:rsidR="000C1073">
              <w:rPr>
                <w:sz w:val="26"/>
                <w:szCs w:val="26"/>
              </w:rPr>
              <w:t>«С</w:t>
            </w:r>
            <w:r w:rsidR="00AB430B">
              <w:rPr>
                <w:sz w:val="26"/>
                <w:szCs w:val="26"/>
              </w:rPr>
              <w:t>ТІЛЬ</w:t>
            </w:r>
            <w:r w:rsidR="000C1073">
              <w:rPr>
                <w:sz w:val="26"/>
                <w:szCs w:val="26"/>
              </w:rPr>
              <w:t>»</w:t>
            </w:r>
            <w:bookmarkEnd w:id="7"/>
            <w:bookmarkEnd w:id="8"/>
            <w:r w:rsidR="003C5BA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9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DA7DC1">
              <w:rPr>
                <w:sz w:val="26"/>
                <w:szCs w:val="26"/>
              </w:rPr>
              <w:t>листопаді</w:t>
            </w:r>
            <w:r w:rsidR="0052426E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>20</w:t>
            </w:r>
            <w:r w:rsidR="00186EC8" w:rsidRPr="004E4A5A">
              <w:rPr>
                <w:sz w:val="26"/>
                <w:szCs w:val="26"/>
              </w:rPr>
              <w:t>2</w:t>
            </w:r>
            <w:r w:rsidR="000F1737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2D5B1F">
              <w:rPr>
                <w:sz w:val="26"/>
                <w:szCs w:val="26"/>
              </w:rPr>
              <w:t>2 668,80</w:t>
            </w:r>
            <w:r w:rsidR="004E4CD5" w:rsidRPr="002D5B1F">
              <w:rPr>
                <w:sz w:val="26"/>
                <w:szCs w:val="26"/>
              </w:rPr>
              <w:t xml:space="preserve"> </w:t>
            </w:r>
            <w:bookmarkEnd w:id="9"/>
            <w:r w:rsidR="00EC7CBA" w:rsidRPr="002D5B1F">
              <w:rPr>
                <w:sz w:val="26"/>
                <w:szCs w:val="26"/>
              </w:rPr>
              <w:t>грн</w:t>
            </w:r>
            <w:r w:rsidR="00B07538" w:rsidRPr="002D5B1F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bookmarkStart w:id="10" w:name="_Hlk70423259"/>
            <w:r w:rsidR="000C1073">
              <w:rPr>
                <w:sz w:val="26"/>
                <w:szCs w:val="26"/>
              </w:rPr>
              <w:t>4035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871CAD">
              <w:rPr>
                <w:sz w:val="26"/>
                <w:szCs w:val="26"/>
              </w:rPr>
              <w:t>22.0</w:t>
            </w:r>
            <w:r w:rsidR="000C1073">
              <w:rPr>
                <w:sz w:val="26"/>
                <w:szCs w:val="26"/>
              </w:rPr>
              <w:t>8</w:t>
            </w:r>
            <w:r w:rsidR="00871CAD">
              <w:rPr>
                <w:sz w:val="26"/>
                <w:szCs w:val="26"/>
              </w:rPr>
              <w:t>.</w:t>
            </w:r>
            <w:r w:rsidR="00B07538" w:rsidRPr="004E4A5A">
              <w:rPr>
                <w:sz w:val="26"/>
                <w:szCs w:val="26"/>
              </w:rPr>
              <w:t>20</w:t>
            </w:r>
            <w:r w:rsidR="00871CAD">
              <w:rPr>
                <w:sz w:val="26"/>
                <w:szCs w:val="26"/>
              </w:rPr>
              <w:t>1</w:t>
            </w:r>
            <w:r w:rsidR="000C1073">
              <w:rPr>
                <w:sz w:val="26"/>
                <w:szCs w:val="26"/>
              </w:rPr>
              <w:t>1</w:t>
            </w:r>
            <w:bookmarkEnd w:id="10"/>
            <w:r w:rsidR="00853680" w:rsidRPr="00937961">
              <w:rPr>
                <w:sz w:val="26"/>
                <w:szCs w:val="26"/>
              </w:rPr>
              <w:t xml:space="preserve">– </w:t>
            </w:r>
            <w:r w:rsidR="00853680" w:rsidRPr="00DA7DC1">
              <w:rPr>
                <w:sz w:val="26"/>
                <w:szCs w:val="26"/>
              </w:rPr>
              <w:t xml:space="preserve">до </w:t>
            </w:r>
            <w:bookmarkEnd w:id="6"/>
            <w:r w:rsidR="00DA7DC1">
              <w:rPr>
                <w:sz w:val="26"/>
                <w:szCs w:val="26"/>
              </w:rPr>
              <w:t>22.08.2026</w:t>
            </w:r>
          </w:p>
          <w:p w14:paraId="44DB87AF" w14:textId="5BF22A52" w:rsidR="00F36BCF" w:rsidRPr="00937961" w:rsidRDefault="00F36BCF" w:rsidP="00937961">
            <w:pPr>
              <w:pStyle w:val="a8"/>
              <w:ind w:firstLine="567"/>
              <w:rPr>
                <w:sz w:val="26"/>
                <w:szCs w:val="26"/>
              </w:rPr>
            </w:pPr>
          </w:p>
        </w:tc>
      </w:tr>
      <w:tr w:rsidR="00C9278B" w:rsidRPr="00492382" w14:paraId="78B0E623" w14:textId="77777777" w:rsidTr="00833EBF">
        <w:trPr>
          <w:cantSplit/>
        </w:trPr>
        <w:tc>
          <w:tcPr>
            <w:tcW w:w="6451" w:type="dxa"/>
          </w:tcPr>
          <w:p w14:paraId="23114432" w14:textId="77777777"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14:paraId="68720183" w14:textId="77777777" w:rsidR="00C9278B" w:rsidRPr="00824AD8" w:rsidRDefault="00C3070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14:paraId="40F19ABA" w14:textId="77777777" w:rsidTr="00833EBF">
        <w:trPr>
          <w:cantSplit/>
          <w:trHeight w:val="774"/>
        </w:trPr>
        <w:tc>
          <w:tcPr>
            <w:tcW w:w="6451" w:type="dxa"/>
          </w:tcPr>
          <w:p w14:paraId="3579CDF8" w14:textId="77777777"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14:paraId="1CDF634F" w14:textId="77777777"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0D26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10.03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0D26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C9278B" w:rsidRPr="00492382" w14:paraId="408DBE9F" w14:textId="77777777" w:rsidTr="00833EBF">
        <w:trPr>
          <w:cantSplit/>
        </w:trPr>
        <w:tc>
          <w:tcPr>
            <w:tcW w:w="6451" w:type="dxa"/>
          </w:tcPr>
          <w:p w14:paraId="0FC9A0EC" w14:textId="77777777"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14:paraId="452F3EEC" w14:textId="77777777"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14:paraId="27622A50" w14:textId="77777777" w:rsidTr="00833EBF">
        <w:trPr>
          <w:cantSplit/>
        </w:trPr>
        <w:tc>
          <w:tcPr>
            <w:tcW w:w="6451" w:type="dxa"/>
          </w:tcPr>
          <w:p w14:paraId="18D6C044" w14:textId="77777777"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14:paraId="019AB6C4" w14:textId="77777777"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14:paraId="71A67A8A" w14:textId="77777777" w:rsidTr="00833EBF">
        <w:trPr>
          <w:cantSplit/>
        </w:trPr>
        <w:tc>
          <w:tcPr>
            <w:tcW w:w="6451" w:type="dxa"/>
            <w:vMerge w:val="restart"/>
          </w:tcPr>
          <w:p w14:paraId="7BFDFFE0" w14:textId="77777777"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14:paraId="5A4E1E49" w14:textId="77777777"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01ECB9F4" w14:textId="006E4B53" w:rsidR="00FA0953" w:rsidRPr="001D7CEA" w:rsidRDefault="00FA0953" w:rsidP="00BD152C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bookmarkStart w:id="11" w:name="_Hlk90382353"/>
            <w:r w:rsidR="00EF2000" w:rsidRPr="00022A18">
              <w:rPr>
                <w:b/>
                <w:bCs/>
                <w:u w:val="single"/>
              </w:rPr>
              <w:t>17.01.</w:t>
            </w:r>
            <w:r w:rsidR="00D26D96" w:rsidRPr="00022A18">
              <w:rPr>
                <w:b/>
                <w:bCs/>
                <w:u w:val="single"/>
              </w:rPr>
              <w:t xml:space="preserve">2022 </w:t>
            </w:r>
            <w:r w:rsidR="00BD152C" w:rsidRPr="00022A18">
              <w:rPr>
                <w:b/>
                <w:bCs/>
                <w:color w:val="000000"/>
                <w:u w:val="single"/>
              </w:rPr>
              <w:t>(</w:t>
            </w:r>
            <w:r w:rsidR="00EF2000">
              <w:rPr>
                <w:b/>
                <w:bCs/>
                <w:color w:val="000000"/>
                <w:u w:val="single"/>
              </w:rPr>
              <w:t xml:space="preserve">сімнадцятого січня </w:t>
            </w:r>
            <w:r w:rsidR="00BD152C" w:rsidRPr="008E1B79">
              <w:rPr>
                <w:b/>
                <w:bCs/>
                <w:color w:val="000000"/>
                <w:u w:val="single"/>
              </w:rPr>
              <w:t xml:space="preserve">дві тисячі двадцять </w:t>
            </w:r>
            <w:r w:rsidR="00D26D96">
              <w:rPr>
                <w:b/>
                <w:bCs/>
                <w:color w:val="000000"/>
                <w:u w:val="single"/>
              </w:rPr>
              <w:t>другого</w:t>
            </w:r>
            <w:r w:rsidR="00BD152C" w:rsidRPr="008E1B79">
              <w:rPr>
                <w:b/>
                <w:bCs/>
                <w:color w:val="000000"/>
                <w:u w:val="single"/>
              </w:rPr>
              <w:t xml:space="preserve"> рок</w:t>
            </w:r>
            <w:r w:rsidR="00BD152C" w:rsidRPr="00BD152C">
              <w:rPr>
                <w:b/>
                <w:bCs/>
                <w:color w:val="000000"/>
                <w:u w:val="single"/>
              </w:rPr>
              <w:t>у</w:t>
            </w:r>
            <w:r w:rsidR="00BD152C" w:rsidRPr="00BD152C">
              <w:rPr>
                <w:b/>
                <w:bCs/>
                <w:color w:val="000000"/>
              </w:rPr>
              <w:t>)</w:t>
            </w:r>
            <w:bookmarkEnd w:id="11"/>
            <w:r w:rsidR="00BD152C" w:rsidRPr="00BD152C">
              <w:rPr>
                <w:b/>
                <w:bCs/>
                <w:color w:val="000000"/>
              </w:rPr>
              <w:t>,</w:t>
            </w:r>
            <w:r w:rsidR="00BD152C" w:rsidRPr="00BD152C">
              <w:rPr>
                <w:color w:val="000000"/>
              </w:rPr>
              <w:t xml:space="preserve"> г</w:t>
            </w:r>
            <w:r w:rsidRPr="001D7CEA">
              <w:t xml:space="preserve">одина о котрій починається аукціон, встановлюється ЕТС для кожного електронного аукціону окремо в проміжку часу з 9-00 до 18-00 години </w:t>
            </w:r>
          </w:p>
        </w:tc>
      </w:tr>
      <w:tr w:rsidR="00FA0953" w:rsidRPr="00492382" w14:paraId="1AE37557" w14:textId="77777777" w:rsidTr="00833EBF">
        <w:trPr>
          <w:cantSplit/>
        </w:trPr>
        <w:tc>
          <w:tcPr>
            <w:tcW w:w="6451" w:type="dxa"/>
            <w:vMerge/>
          </w:tcPr>
          <w:p w14:paraId="1AB7E31E" w14:textId="77777777"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14:paraId="1B90BE5B" w14:textId="77777777"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14:paraId="4DC470AF" w14:textId="77777777" w:rsidTr="00833EBF">
        <w:trPr>
          <w:cantSplit/>
        </w:trPr>
        <w:tc>
          <w:tcPr>
            <w:tcW w:w="6451" w:type="dxa"/>
          </w:tcPr>
          <w:p w14:paraId="23193AA3" w14:textId="77777777"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14:paraId="19EB4341" w14:textId="77777777"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14:paraId="717FC564" w14:textId="77777777"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14:paraId="577674F9" w14:textId="77777777" w:rsidTr="00833EBF">
        <w:trPr>
          <w:cantSplit/>
        </w:trPr>
        <w:tc>
          <w:tcPr>
            <w:tcW w:w="6451" w:type="dxa"/>
          </w:tcPr>
          <w:p w14:paraId="0423BE06" w14:textId="77777777"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14:paraId="6A3D947D" w14:textId="77777777"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14:paraId="0256125A" w14:textId="77777777" w:rsidTr="00833EBF">
        <w:trPr>
          <w:cantSplit/>
        </w:trPr>
        <w:tc>
          <w:tcPr>
            <w:tcW w:w="6451" w:type="dxa"/>
            <w:vMerge w:val="restart"/>
          </w:tcPr>
          <w:p w14:paraId="76724E11" w14:textId="77777777"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14:paraId="1A29EBAC" w14:textId="77777777"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14:paraId="5542E4F3" w14:textId="1F978931" w:rsidR="00C9278B" w:rsidRPr="00D42EA7" w:rsidRDefault="00C9278B" w:rsidP="002B0F9F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="00037AA4">
              <w:t xml:space="preserve"> </w:t>
            </w:r>
            <w:r w:rsidRPr="00D42EA7">
              <w:rPr>
                <w:color w:val="000000"/>
              </w:rPr>
              <w:t>–</w:t>
            </w:r>
            <w:bookmarkStart w:id="12" w:name="_Hlk71880314"/>
            <w:r w:rsidR="003274F5">
              <w:rPr>
                <w:color w:val="000000"/>
              </w:rPr>
              <w:t xml:space="preserve"> </w:t>
            </w:r>
            <w:bookmarkStart w:id="13" w:name="_Hlk80798035"/>
            <w:r w:rsidR="00037AA4">
              <w:rPr>
                <w:color w:val="000000"/>
              </w:rPr>
              <w:t>1</w:t>
            </w:r>
            <w:r w:rsidR="00D26D96">
              <w:rPr>
                <w:color w:val="000000"/>
              </w:rPr>
              <w:t> </w:t>
            </w:r>
            <w:r w:rsidR="00037AA4">
              <w:rPr>
                <w:color w:val="000000"/>
              </w:rPr>
              <w:t>542</w:t>
            </w:r>
            <w:r w:rsidR="00D26D96">
              <w:rPr>
                <w:color w:val="000000"/>
              </w:rPr>
              <w:t> </w:t>
            </w:r>
            <w:r w:rsidR="00037AA4">
              <w:rPr>
                <w:color w:val="000000"/>
              </w:rPr>
              <w:t>441</w:t>
            </w:r>
            <w:r w:rsidR="0061682D">
              <w:rPr>
                <w:color w:val="000000"/>
              </w:rPr>
              <w:t>,</w:t>
            </w:r>
            <w:r w:rsidR="00037AA4">
              <w:rPr>
                <w:color w:val="000000"/>
              </w:rPr>
              <w:t>35</w:t>
            </w:r>
            <w:r w:rsidRPr="00D42EA7">
              <w:rPr>
                <w:color w:val="000000"/>
              </w:rPr>
              <w:t xml:space="preserve"> </w:t>
            </w:r>
            <w:bookmarkEnd w:id="12"/>
            <w:bookmarkEnd w:id="13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14:paraId="6F791B93" w14:textId="77777777" w:rsidTr="00833EBF">
        <w:trPr>
          <w:cantSplit/>
        </w:trPr>
        <w:tc>
          <w:tcPr>
            <w:tcW w:w="6451" w:type="dxa"/>
            <w:vMerge/>
          </w:tcPr>
          <w:p w14:paraId="3B0AB287" w14:textId="77777777"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14:paraId="246FC8DA" w14:textId="09BA4C3C"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4B0740">
              <w:rPr>
                <w:color w:val="000000"/>
              </w:rPr>
              <w:t xml:space="preserve"> 77</w:t>
            </w:r>
            <w:r w:rsidR="00037AA4">
              <w:rPr>
                <w:color w:val="000000"/>
              </w:rPr>
              <w:t>1</w:t>
            </w:r>
            <w:r w:rsidR="004B0740">
              <w:rPr>
                <w:color w:val="000000"/>
              </w:rPr>
              <w:t> </w:t>
            </w:r>
            <w:r w:rsidR="00037AA4">
              <w:rPr>
                <w:color w:val="000000"/>
              </w:rPr>
              <w:t>220</w:t>
            </w:r>
            <w:r w:rsidR="004B0740">
              <w:rPr>
                <w:color w:val="000000"/>
              </w:rPr>
              <w:t>,</w:t>
            </w:r>
            <w:r w:rsidR="00037AA4">
              <w:rPr>
                <w:color w:val="000000"/>
              </w:rPr>
              <w:t>68</w:t>
            </w:r>
            <w:r w:rsidR="004B0740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14:paraId="38B30567" w14:textId="77777777" w:rsidTr="00833EBF">
        <w:trPr>
          <w:cantSplit/>
        </w:trPr>
        <w:tc>
          <w:tcPr>
            <w:tcW w:w="6451" w:type="dxa"/>
            <w:vMerge/>
          </w:tcPr>
          <w:p w14:paraId="1423C214" w14:textId="77777777"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14:paraId="3AD92D7E" w14:textId="524BB666"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4B0740">
              <w:rPr>
                <w:color w:val="000000"/>
              </w:rPr>
              <w:t xml:space="preserve"> </w:t>
            </w:r>
            <w:r w:rsidR="00037AA4">
              <w:rPr>
                <w:color w:val="000000"/>
              </w:rPr>
              <w:t xml:space="preserve">771 220,68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14:paraId="506885F8" w14:textId="77777777" w:rsidTr="004E4A5A">
        <w:trPr>
          <w:cantSplit/>
          <w:trHeight w:val="323"/>
        </w:trPr>
        <w:tc>
          <w:tcPr>
            <w:tcW w:w="6451" w:type="dxa"/>
            <w:vMerge w:val="restart"/>
          </w:tcPr>
          <w:p w14:paraId="46E316F6" w14:textId="77777777"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14:paraId="10F4AD58" w14:textId="77777777"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14:paraId="15AAB182" w14:textId="615E2204"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2B3C0F">
              <w:t xml:space="preserve"> </w:t>
            </w:r>
            <w:r w:rsidR="00037AA4">
              <w:t>154</w:t>
            </w:r>
            <w:r w:rsidR="00D26D96">
              <w:t> 2</w:t>
            </w:r>
            <w:r w:rsidR="00037AA4">
              <w:t>44,1</w:t>
            </w:r>
            <w:r w:rsidR="00287B06">
              <w:t>4</w:t>
            </w:r>
            <w:r w:rsidR="002B3C0F">
              <w:t xml:space="preserve">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14:paraId="320F31E5" w14:textId="77777777" w:rsidTr="00833EBF">
        <w:trPr>
          <w:cantSplit/>
          <w:trHeight w:val="421"/>
        </w:trPr>
        <w:tc>
          <w:tcPr>
            <w:tcW w:w="6451" w:type="dxa"/>
            <w:vMerge/>
          </w:tcPr>
          <w:p w14:paraId="54E84858" w14:textId="77777777"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6E2C3C38" w14:textId="6D43A2BF"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2B3C0F">
              <w:t xml:space="preserve"> 77 </w:t>
            </w:r>
            <w:r w:rsidR="00037AA4">
              <w:t>122</w:t>
            </w:r>
            <w:r w:rsidR="002B3C0F">
              <w:t>,</w:t>
            </w:r>
            <w:r w:rsidR="00037AA4">
              <w:t>0</w:t>
            </w:r>
            <w:r w:rsidR="00C711A8">
              <w:t>7</w:t>
            </w:r>
            <w:r w:rsidR="002B3C0F">
              <w:t xml:space="preserve"> </w:t>
            </w:r>
            <w:r w:rsidR="00EC7CBA">
              <w:rPr>
                <w:color w:val="000000"/>
                <w:lang w:val="ru-RU"/>
              </w:rPr>
              <w:t>грн</w:t>
            </w:r>
            <w:r w:rsidR="00037AA4">
              <w:rPr>
                <w:color w:val="000000"/>
                <w:lang w:val="ru-RU"/>
              </w:rPr>
              <w:t>.</w:t>
            </w:r>
          </w:p>
        </w:tc>
      </w:tr>
      <w:tr w:rsidR="00C9278B" w:rsidRPr="00492382" w14:paraId="6B6E9BDF" w14:textId="77777777" w:rsidTr="00833EBF">
        <w:trPr>
          <w:cantSplit/>
          <w:trHeight w:val="697"/>
        </w:trPr>
        <w:tc>
          <w:tcPr>
            <w:tcW w:w="6451" w:type="dxa"/>
            <w:vMerge/>
          </w:tcPr>
          <w:p w14:paraId="0BF9FA48" w14:textId="77777777"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100358B4" w14:textId="501865DA"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2B3C0F">
              <w:t xml:space="preserve"> </w:t>
            </w:r>
            <w:r w:rsidR="00C711A8">
              <w:t>77</w:t>
            </w:r>
            <w:r w:rsidR="00D26D96">
              <w:t> </w:t>
            </w:r>
            <w:r w:rsidR="00C711A8">
              <w:t>122,07</w:t>
            </w:r>
            <w:r w:rsidR="002B3C0F">
              <w:t xml:space="preserve"> </w:t>
            </w:r>
            <w:r w:rsidR="00EC7CBA">
              <w:rPr>
                <w:color w:val="000000"/>
                <w:lang w:val="ru-RU"/>
              </w:rPr>
              <w:t>грн</w:t>
            </w:r>
            <w:r w:rsidR="00037AA4">
              <w:rPr>
                <w:color w:val="000000"/>
                <w:lang w:val="ru-RU"/>
              </w:rPr>
              <w:t>.</w:t>
            </w:r>
          </w:p>
        </w:tc>
      </w:tr>
      <w:tr w:rsidR="00C9278B" w:rsidRPr="00492382" w14:paraId="1F5E0B59" w14:textId="77777777" w:rsidTr="004E4A5A">
        <w:trPr>
          <w:cantSplit/>
          <w:trHeight w:val="415"/>
        </w:trPr>
        <w:tc>
          <w:tcPr>
            <w:tcW w:w="6451" w:type="dxa"/>
          </w:tcPr>
          <w:p w14:paraId="0D5EB9D8" w14:textId="77777777" w:rsidR="00C9278B" w:rsidRPr="0057050E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050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14:paraId="5EB7D565" w14:textId="77777777" w:rsidR="00C9278B" w:rsidRPr="0057050E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050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1 200,00 грн</w:t>
            </w:r>
          </w:p>
          <w:p w14:paraId="060C4274" w14:textId="4D826313" w:rsidR="0057050E" w:rsidRPr="0057050E" w:rsidRDefault="0057050E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050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 01.01.2022 реєстраційний внесок буде перераховано згідно з п. 25 статті 1 Закону України «Про приватизацію державного і комунального майна».</w:t>
            </w:r>
          </w:p>
        </w:tc>
      </w:tr>
      <w:tr w:rsidR="00C9278B" w:rsidRPr="00492382" w14:paraId="7A731E20" w14:textId="77777777" w:rsidTr="00833EBF">
        <w:trPr>
          <w:cantSplit/>
          <w:trHeight w:val="2122"/>
        </w:trPr>
        <w:tc>
          <w:tcPr>
            <w:tcW w:w="6451" w:type="dxa"/>
          </w:tcPr>
          <w:p w14:paraId="75E61970" w14:textId="77777777"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4" w:name="n102"/>
            <w:bookmarkEnd w:id="14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14:paraId="176AE22A" w14:textId="77777777"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511AA8" w:rsidRPr="00492382" w14:paraId="7DF67ECC" w14:textId="77777777" w:rsidTr="00833EBF">
        <w:trPr>
          <w:cantSplit/>
          <w:trHeight w:val="2122"/>
        </w:trPr>
        <w:tc>
          <w:tcPr>
            <w:tcW w:w="6451" w:type="dxa"/>
          </w:tcPr>
          <w:p w14:paraId="224E8B18" w14:textId="77777777" w:rsidR="00511AA8" w:rsidRPr="00492382" w:rsidRDefault="00511AA8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6BE8234E" w14:textId="77777777" w:rsidR="00511AA8" w:rsidRPr="00114D16" w:rsidRDefault="00511AA8" w:rsidP="00511AA8">
            <w:pPr>
              <w:pStyle w:val="rvps2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color w:val="000000"/>
                <w:sz w:val="28"/>
                <w:szCs w:val="28"/>
                <w:u w:val="single"/>
                <w:lang w:eastAsia="ru-RU"/>
              </w:rPr>
            </w:pPr>
            <w:r w:rsidRPr="00114D16">
              <w:rPr>
                <w:color w:val="000000"/>
                <w:sz w:val="28"/>
                <w:szCs w:val="28"/>
                <w:u w:val="single"/>
                <w:lang w:eastAsia="ru-RU"/>
              </w:rPr>
              <w:t>Вимоги до Покупця:</w:t>
            </w:r>
          </w:p>
          <w:p w14:paraId="439F4B37" w14:textId="77777777" w:rsidR="00511AA8" w:rsidRPr="00790544" w:rsidRDefault="00511AA8" w:rsidP="00511AA8">
            <w:pPr>
              <w:pStyle w:val="rvps2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Потенційні покупці зобов’язані подати разом із заявою у довільній формі інформацію і документи на участь у приватизації, визначені </w:t>
            </w:r>
            <w:bookmarkStart w:id="15" w:name="n280"/>
            <w:bookmarkEnd w:id="15"/>
            <w:r w:rsidRPr="00790544">
              <w:rPr>
                <w:sz w:val="28"/>
                <w:szCs w:val="28"/>
              </w:rPr>
              <w:t>ч. 7 ст. 14 Закону України «Про приватизацію державного і комунального майна»</w:t>
            </w:r>
          </w:p>
          <w:p w14:paraId="51155BC4" w14:textId="77777777" w:rsidR="00511AA8" w:rsidRPr="00790544" w:rsidRDefault="00511AA8" w:rsidP="00511A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До заяви на участь у приватизації об’єкта малої приватизації подаються: </w:t>
            </w:r>
            <w:bookmarkStart w:id="16" w:name="n303"/>
            <w:bookmarkEnd w:id="16"/>
            <w:r w:rsidRPr="00790544">
              <w:rPr>
                <w:sz w:val="28"/>
                <w:szCs w:val="28"/>
              </w:rPr>
              <w:t>1) для потенційних покупців - фізичних осіб - громадян України - копія паспорта громадянина України</w:t>
            </w:r>
          </w:p>
          <w:p w14:paraId="3B6E3F6D" w14:textId="77777777" w:rsidR="00511AA8" w:rsidRPr="00790544" w:rsidRDefault="00511AA8" w:rsidP="00511A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У випадку, якщо паспорт громадянина України оформлено у вигляді книжечки, потенційний покупець надає копію усіх сторінок паспорта, в тому числі його обкладинку.</w:t>
            </w:r>
          </w:p>
          <w:p w14:paraId="0F840E8B" w14:textId="77777777" w:rsidR="00511AA8" w:rsidRPr="00790544" w:rsidRDefault="00511AA8" w:rsidP="00511A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У випадку, якщо копію паспорта громадянина України оформлено у формі картки, що містить безконтактний електронний носій, потенційний покупець надає двосторонню копію такого паспорта.</w:t>
            </w:r>
          </w:p>
          <w:p w14:paraId="582EAB15" w14:textId="77777777" w:rsidR="00511AA8" w:rsidRPr="00790544" w:rsidRDefault="00511AA8" w:rsidP="00511A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7" w:name="n304"/>
            <w:bookmarkEnd w:id="17"/>
            <w:r w:rsidRPr="00790544">
              <w:rPr>
                <w:sz w:val="28"/>
                <w:szCs w:val="28"/>
              </w:rPr>
              <w:t>2) для іноземних громадян - копія документа, що посвідчує особу</w:t>
            </w:r>
          </w:p>
          <w:p w14:paraId="11663480" w14:textId="77777777" w:rsidR="00511AA8" w:rsidRPr="00790544" w:rsidRDefault="00511AA8" w:rsidP="00511A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Надається копія усіх сторінок такого документа;</w:t>
            </w:r>
          </w:p>
          <w:p w14:paraId="18F8CD3F" w14:textId="77777777" w:rsidR="00511AA8" w:rsidRPr="00790544" w:rsidRDefault="00511AA8" w:rsidP="00511A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8" w:name="n305"/>
            <w:bookmarkEnd w:id="18"/>
            <w:r w:rsidRPr="00790544">
              <w:rPr>
                <w:sz w:val="28"/>
                <w:szCs w:val="28"/>
              </w:rPr>
              <w:t>3) для потенційних покупців - юридичних осіб:</w:t>
            </w:r>
          </w:p>
          <w:p w14:paraId="1BE6ACF3" w14:textId="77777777" w:rsidR="00511AA8" w:rsidRPr="00790544" w:rsidRDefault="00511AA8" w:rsidP="00511A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9" w:name="n306"/>
            <w:bookmarkEnd w:id="19"/>
            <w:r w:rsidRPr="00790544">
              <w:rPr>
                <w:sz w:val="28"/>
                <w:szCs w:val="28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– резидентів</w:t>
            </w:r>
          </w:p>
          <w:p w14:paraId="7B85AF8E" w14:textId="77777777" w:rsidR="00511AA8" w:rsidRPr="00790544" w:rsidRDefault="00511AA8" w:rsidP="00511A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витяг повинен також містити інформаці</w:t>
            </w:r>
            <w:r>
              <w:rPr>
                <w:sz w:val="28"/>
                <w:szCs w:val="28"/>
              </w:rPr>
              <w:t>ю</w:t>
            </w:r>
            <w:r w:rsidRPr="00790544">
              <w:rPr>
                <w:sz w:val="28"/>
                <w:szCs w:val="28"/>
              </w:rPr>
              <w:t xml:space="preserve"> про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власника. Якщо особа не має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 і про причину його відсутності;</w:t>
            </w:r>
          </w:p>
          <w:p w14:paraId="3A3AD47C" w14:textId="77777777" w:rsidR="00511AA8" w:rsidRPr="00280445" w:rsidRDefault="00511AA8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1AA8" w:rsidRPr="00492382" w14:paraId="19434D61" w14:textId="77777777" w:rsidTr="00833EBF">
        <w:trPr>
          <w:cantSplit/>
          <w:trHeight w:val="2122"/>
        </w:trPr>
        <w:tc>
          <w:tcPr>
            <w:tcW w:w="6451" w:type="dxa"/>
          </w:tcPr>
          <w:p w14:paraId="37408238" w14:textId="77777777" w:rsidR="00511AA8" w:rsidRPr="00492382" w:rsidRDefault="00511AA8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65482068" w14:textId="77777777" w:rsidR="00511AA8" w:rsidRPr="00790544" w:rsidRDefault="00511AA8" w:rsidP="00511A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1B102CC5" w14:textId="77777777" w:rsidR="00511AA8" w:rsidRPr="00790544" w:rsidRDefault="00511AA8" w:rsidP="00511A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20" w:name="n308"/>
            <w:bookmarkEnd w:id="20"/>
            <w:r w:rsidRPr="00790544">
              <w:rPr>
                <w:sz w:val="28"/>
                <w:szCs w:val="28"/>
              </w:rPr>
              <w:t xml:space="preserve">інформація про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власника. Якщо особа не має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 і про причину його відсутності;</w:t>
            </w:r>
          </w:p>
          <w:p w14:paraId="56924620" w14:textId="77777777" w:rsidR="00511AA8" w:rsidRPr="00790544" w:rsidRDefault="00511AA8" w:rsidP="00511AA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21" w:name="n309"/>
            <w:bookmarkEnd w:id="21"/>
            <w:r w:rsidRPr="00790544">
              <w:rPr>
                <w:sz w:val="28"/>
                <w:szCs w:val="28"/>
              </w:rPr>
              <w:t>остання річна або квартальна фінансова звітність;</w:t>
            </w:r>
          </w:p>
          <w:p w14:paraId="44991B2F" w14:textId="77777777" w:rsidR="00511AA8" w:rsidRDefault="00511AA8" w:rsidP="00511AA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2" w:name="n310"/>
            <w:bookmarkEnd w:id="22"/>
            <w:r w:rsidRPr="00790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ч. 11 ст.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0D07C74" w14:textId="40B4A095" w:rsidR="00511AA8" w:rsidRPr="00280445" w:rsidRDefault="00511AA8" w:rsidP="00511AA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відсутності копії усіх сторінок будь-якого з вищезазначених документів або у разі відсутності самого документу орган приватизації приймає рішення про відмову у підписанні протоколу про результати електронного аукціону.</w:t>
            </w:r>
          </w:p>
        </w:tc>
      </w:tr>
      <w:tr w:rsidR="00C9278B" w:rsidRPr="00492382" w14:paraId="462FE59D" w14:textId="77777777" w:rsidTr="00E603FA">
        <w:trPr>
          <w:cantSplit/>
          <w:trHeight w:val="1005"/>
        </w:trPr>
        <w:tc>
          <w:tcPr>
            <w:tcW w:w="6451" w:type="dxa"/>
          </w:tcPr>
          <w:p w14:paraId="2D57ACA9" w14:textId="77777777"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14:paraId="17878CC3" w14:textId="77777777"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14:paraId="79ECEC76" w14:textId="77777777" w:rsidTr="00833EBF">
        <w:trPr>
          <w:cantSplit/>
        </w:trPr>
        <w:tc>
          <w:tcPr>
            <w:tcW w:w="6451" w:type="dxa"/>
          </w:tcPr>
          <w:p w14:paraId="36888A88" w14:textId="77777777"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14:paraId="2F375CB9" w14:textId="77777777"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14:paraId="23D213B9" w14:textId="77777777" w:rsidTr="00833EBF">
        <w:trPr>
          <w:cantSplit/>
        </w:trPr>
        <w:tc>
          <w:tcPr>
            <w:tcW w:w="6451" w:type="dxa"/>
          </w:tcPr>
          <w:p w14:paraId="1138611B" w14:textId="77777777"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14:paraId="3AF21490" w14:textId="77777777"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740BA449" w14:textId="77777777"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14:paraId="7DAA8BC3" w14:textId="77777777"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14:paraId="12C0B2CD" w14:textId="77777777"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14:paraId="059818CD" w14:textId="77777777"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14:paraId="36FC1809" w14:textId="77777777"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14:paraId="0032E784" w14:textId="77777777"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14:paraId="3BE8690D" w14:textId="77777777"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14:paraId="5E12F71B" w14:textId="77777777"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14:paraId="189EB7CE" w14:textId="77777777"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14:paraId="1BFE0A04" w14:textId="77777777"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14:paraId="7BD30D6C" w14:textId="77777777"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14:paraId="6AB6DD7F" w14:textId="77777777"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14:paraId="045C3552" w14:textId="77777777"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14:paraId="607638A5" w14:textId="77777777"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14:paraId="3267F213" w14:textId="77777777"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14:paraId="58BE9E77" w14:textId="77777777"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3871E6" w14:paraId="2436114E" w14:textId="77777777" w:rsidTr="00833EBF">
        <w:trPr>
          <w:cantSplit/>
        </w:trPr>
        <w:tc>
          <w:tcPr>
            <w:tcW w:w="6451" w:type="dxa"/>
          </w:tcPr>
          <w:p w14:paraId="4D4B678A" w14:textId="77777777"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14:paraId="60CFEFF9" w14:textId="77777777" w:rsidR="00326877" w:rsidRPr="004E4A5A" w:rsidRDefault="003871E6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14:paraId="7F5A3438" w14:textId="77777777" w:rsidTr="00833EBF">
        <w:trPr>
          <w:cantSplit/>
        </w:trPr>
        <w:tc>
          <w:tcPr>
            <w:tcW w:w="6451" w:type="dxa"/>
          </w:tcPr>
          <w:p w14:paraId="49429BC0" w14:textId="77777777"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14:paraId="1B5DFA5B" w14:textId="77777777" w:rsidR="00326877" w:rsidRPr="004E4A5A" w:rsidRDefault="0088588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50FE0" w:rsidRPr="003871E6" w14:paraId="736E96E4" w14:textId="77777777" w:rsidTr="00833EBF">
        <w:trPr>
          <w:cantSplit/>
        </w:trPr>
        <w:tc>
          <w:tcPr>
            <w:tcW w:w="6451" w:type="dxa"/>
          </w:tcPr>
          <w:p w14:paraId="42924D44" w14:textId="77777777" w:rsidR="00C50FE0" w:rsidRPr="004E4A5A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14:paraId="01AB0C8A" w14:textId="46B6DE86" w:rsidR="00C50FE0" w:rsidRDefault="00C50FE0" w:rsidP="00C5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F20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11.01.2022</w:t>
            </w:r>
            <w:r w:rsidR="009E53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місцем його розташування, попередньо узгодивши </w:t>
            </w:r>
            <w:r w:rsidR="009E53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час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Управлінням комунального майна та приватизації годину огляду за телефоном</w:t>
            </w:r>
            <w:r w:rsidR="009525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+38(057)725 25 29 у робочі дні з 9-00 до 16-00.</w:t>
            </w:r>
          </w:p>
          <w:p w14:paraId="1A0CADA7" w14:textId="4530E96E" w:rsidR="00C50FE0" w:rsidRPr="00F6416C" w:rsidRDefault="00F20B82" w:rsidP="00F20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C50FE0" w:rsidRPr="00492382" w14:paraId="612589D7" w14:textId="77777777" w:rsidTr="00833EBF">
        <w:trPr>
          <w:cantSplit/>
        </w:trPr>
        <w:tc>
          <w:tcPr>
            <w:tcW w:w="6451" w:type="dxa"/>
          </w:tcPr>
          <w:p w14:paraId="749F94A6" w14:textId="77777777" w:rsidR="00C50FE0" w:rsidRPr="00492382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14:paraId="29168CD5" w14:textId="77777777" w:rsidR="00C50FE0" w:rsidRPr="007D0A21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50FE0" w:rsidRPr="003871E6" w14:paraId="1E036282" w14:textId="77777777" w:rsidTr="00833EBF">
        <w:trPr>
          <w:cantSplit/>
        </w:trPr>
        <w:tc>
          <w:tcPr>
            <w:tcW w:w="6451" w:type="dxa"/>
          </w:tcPr>
          <w:p w14:paraId="7825DB5D" w14:textId="77777777" w:rsidR="00C50FE0" w:rsidRPr="00492382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14:paraId="5F5D6BF4" w14:textId="72D71085" w:rsidR="00C50FE0" w:rsidRPr="00492382" w:rsidRDefault="002054EA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 w:rsidR="00E7214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21.12.2021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17468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 w:rsidR="003871E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2133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23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E7214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E7214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17.12.2021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23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C50FE0" w:rsidRPr="00BD152C" w14:paraId="1F9766BB" w14:textId="77777777" w:rsidTr="004E4A5A">
        <w:trPr>
          <w:cantSplit/>
          <w:trHeight w:val="894"/>
        </w:trPr>
        <w:tc>
          <w:tcPr>
            <w:tcW w:w="6451" w:type="dxa"/>
          </w:tcPr>
          <w:p w14:paraId="02E6DA2A" w14:textId="77777777" w:rsidR="00C50FE0" w:rsidRPr="004E4A5A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14:paraId="6D4C34ED" w14:textId="77777777" w:rsidR="00C50FE0" w:rsidRPr="00AF6467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F646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UA-AR-P-2021-04-26-000017-1</w:t>
            </w:r>
          </w:p>
        </w:tc>
      </w:tr>
      <w:tr w:rsidR="00C50FE0" w:rsidRPr="00492382" w14:paraId="2AA64444" w14:textId="77777777" w:rsidTr="00833EBF">
        <w:trPr>
          <w:cantSplit/>
        </w:trPr>
        <w:tc>
          <w:tcPr>
            <w:tcW w:w="6451" w:type="dxa"/>
            <w:vMerge w:val="restart"/>
          </w:tcPr>
          <w:p w14:paraId="0E4CDD71" w14:textId="77777777" w:rsidR="00C50FE0" w:rsidRPr="00492382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14:paraId="35D7F2CC" w14:textId="77777777" w:rsidR="00C50FE0" w:rsidRPr="00492382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388A3F2C" w14:textId="7E304689" w:rsidR="00C50FE0" w:rsidRPr="005479FB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2B3C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15 </w:t>
            </w:r>
            <w:r w:rsidR="00287B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424</w:t>
            </w:r>
            <w:r w:rsidR="002B3C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287B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  <w:r w:rsidR="002B3C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C50FE0" w:rsidRPr="00492382" w14:paraId="12B97EEA" w14:textId="77777777" w:rsidTr="00833EBF">
        <w:trPr>
          <w:cantSplit/>
        </w:trPr>
        <w:tc>
          <w:tcPr>
            <w:tcW w:w="6451" w:type="dxa"/>
            <w:vMerge/>
          </w:tcPr>
          <w:p w14:paraId="4795B0E8" w14:textId="77777777" w:rsidR="00C50FE0" w:rsidRPr="00492382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54B083B4" w14:textId="1F7E30D8" w:rsidR="00C50FE0" w:rsidRPr="005479FB" w:rsidRDefault="00C50FE0" w:rsidP="00C50FE0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2B3C0F">
              <w:rPr>
                <w:color w:val="000000"/>
              </w:rPr>
              <w:t xml:space="preserve"> 7 </w:t>
            </w:r>
            <w:r w:rsidR="00287B06">
              <w:rPr>
                <w:color w:val="000000"/>
              </w:rPr>
              <w:t>712</w:t>
            </w:r>
            <w:r w:rsidR="002B3C0F">
              <w:rPr>
                <w:color w:val="000000"/>
              </w:rPr>
              <w:t>,</w:t>
            </w:r>
            <w:r w:rsidR="00287B06">
              <w:rPr>
                <w:color w:val="000000"/>
              </w:rPr>
              <w:t>21</w:t>
            </w:r>
            <w:r w:rsidR="002B3C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грн</w:t>
            </w:r>
          </w:p>
        </w:tc>
      </w:tr>
      <w:tr w:rsidR="00C50FE0" w:rsidRPr="00492382" w14:paraId="6FB1DECA" w14:textId="77777777" w:rsidTr="004E4A5A">
        <w:trPr>
          <w:cantSplit/>
          <w:trHeight w:val="723"/>
        </w:trPr>
        <w:tc>
          <w:tcPr>
            <w:tcW w:w="6451" w:type="dxa"/>
            <w:vMerge/>
          </w:tcPr>
          <w:p w14:paraId="71468769" w14:textId="77777777" w:rsidR="00C50FE0" w:rsidRPr="00492382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39C5AE06" w14:textId="22CC79B2" w:rsidR="00C50FE0" w:rsidRPr="005479FB" w:rsidRDefault="00C50FE0" w:rsidP="00C50FE0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2B3C0F">
              <w:rPr>
                <w:color w:val="000000"/>
              </w:rPr>
              <w:t xml:space="preserve"> 7 7</w:t>
            </w:r>
            <w:r w:rsidR="00287B06">
              <w:rPr>
                <w:color w:val="000000"/>
              </w:rPr>
              <w:t>12</w:t>
            </w:r>
            <w:r w:rsidR="002B3C0F">
              <w:rPr>
                <w:color w:val="000000"/>
              </w:rPr>
              <w:t>,</w:t>
            </w:r>
            <w:r w:rsidR="00287B06">
              <w:rPr>
                <w:color w:val="000000"/>
              </w:rPr>
              <w:t>21</w:t>
            </w:r>
            <w:r w:rsidR="002B3C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C50FE0" w:rsidRPr="00492382" w14:paraId="1090D2D8" w14:textId="77777777" w:rsidTr="004E4A5A">
        <w:trPr>
          <w:cantSplit/>
          <w:trHeight w:val="1343"/>
        </w:trPr>
        <w:tc>
          <w:tcPr>
            <w:tcW w:w="6451" w:type="dxa"/>
          </w:tcPr>
          <w:p w14:paraId="15BCD795" w14:textId="77777777" w:rsidR="00C50FE0" w:rsidRPr="004E4A5A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14:paraId="08A72DB3" w14:textId="4C80C952" w:rsidR="00C50FE0" w:rsidRPr="007D0A21" w:rsidRDefault="00AF6467" w:rsidP="00C50FE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1176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C50FE0" w:rsidRPr="003871E6" w14:paraId="6D906EDA" w14:textId="77777777" w:rsidTr="00833EBF">
        <w:trPr>
          <w:cantSplit/>
        </w:trPr>
        <w:tc>
          <w:tcPr>
            <w:tcW w:w="6451" w:type="dxa"/>
          </w:tcPr>
          <w:p w14:paraId="1EF55F65" w14:textId="77777777" w:rsidR="00C50FE0" w:rsidRPr="00492382" w:rsidRDefault="00C50FE0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14:paraId="46595EA3" w14:textId="77777777" w:rsidR="00C50FE0" w:rsidRPr="007D0A21" w:rsidRDefault="003871E6" w:rsidP="00C50FE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C50FE0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0FE0" w:rsidRPr="00492382" w14:paraId="237EFDEB" w14:textId="77777777" w:rsidTr="004E4A5A">
        <w:trPr>
          <w:cantSplit/>
          <w:trHeight w:val="642"/>
        </w:trPr>
        <w:tc>
          <w:tcPr>
            <w:tcW w:w="6451" w:type="dxa"/>
          </w:tcPr>
          <w:p w14:paraId="58F980A7" w14:textId="77777777" w:rsidR="00C50FE0" w:rsidRPr="003274B1" w:rsidRDefault="00C50FE0" w:rsidP="00C50FE0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14:paraId="76C97064" w14:textId="77777777" w:rsidR="00C50FE0" w:rsidRPr="00414284" w:rsidRDefault="00C50FE0" w:rsidP="00C50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14:paraId="28E9917C" w14:textId="77777777" w:rsidR="00C50FE0" w:rsidRPr="007D0A21" w:rsidRDefault="00C50FE0" w:rsidP="00C50FE0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14:paraId="59DFD8DE" w14:textId="77777777" w:rsidR="00853680" w:rsidRPr="002203DA" w:rsidRDefault="00853680" w:rsidP="003871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n459"/>
      <w:bookmarkStart w:id="25" w:name="n460"/>
      <w:bookmarkStart w:id="26" w:name="n461"/>
      <w:bookmarkStart w:id="27" w:name="n462"/>
      <w:bookmarkStart w:id="28" w:name="n463"/>
      <w:bookmarkStart w:id="29" w:name="n464"/>
      <w:bookmarkStart w:id="30" w:name="n465"/>
      <w:bookmarkStart w:id="31" w:name="n466"/>
      <w:bookmarkStart w:id="32" w:name="n467"/>
      <w:bookmarkStart w:id="33" w:name="n468"/>
      <w:bookmarkStart w:id="34" w:name="n469"/>
      <w:bookmarkStart w:id="35" w:name="n470"/>
      <w:bookmarkStart w:id="36" w:name="n471"/>
      <w:bookmarkStart w:id="37" w:name="n472"/>
      <w:bookmarkStart w:id="38" w:name="n95"/>
      <w:bookmarkStart w:id="39" w:name="_GoBack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F3A1" w14:textId="77777777"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14:paraId="1E46C70F" w14:textId="77777777"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343B" w14:textId="77777777"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701B" w14:textId="77777777"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2AD2" w14:textId="77777777" w:rsidR="004E4A5A" w:rsidRDefault="004E4A5A">
    <w:pPr>
      <w:pStyle w:val="ac"/>
      <w:jc w:val="right"/>
    </w:pPr>
  </w:p>
  <w:p w14:paraId="193B8BF7" w14:textId="77777777"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94D6" w14:textId="77777777"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14:paraId="19E1E46D" w14:textId="77777777"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2CFD" w14:textId="77777777"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14:paraId="4C678330" w14:textId="77777777"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20A49A" w14:textId="77777777"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95B6" w14:textId="77777777" w:rsidR="004E4A5A" w:rsidRDefault="004E4A5A">
    <w:pPr>
      <w:pStyle w:val="aa"/>
      <w:jc w:val="right"/>
    </w:pPr>
  </w:p>
  <w:p w14:paraId="26A42AA1" w14:textId="77777777"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2A18"/>
    <w:rsid w:val="000236B2"/>
    <w:rsid w:val="00025DAD"/>
    <w:rsid w:val="000273E7"/>
    <w:rsid w:val="00030BC3"/>
    <w:rsid w:val="00033111"/>
    <w:rsid w:val="00037AA4"/>
    <w:rsid w:val="000446AE"/>
    <w:rsid w:val="0004566B"/>
    <w:rsid w:val="00046C95"/>
    <w:rsid w:val="00051B72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1073"/>
    <w:rsid w:val="000C29B1"/>
    <w:rsid w:val="000C3757"/>
    <w:rsid w:val="000D23F7"/>
    <w:rsid w:val="000D26C1"/>
    <w:rsid w:val="000D2D8F"/>
    <w:rsid w:val="000D4891"/>
    <w:rsid w:val="000D6E16"/>
    <w:rsid w:val="000D744A"/>
    <w:rsid w:val="000D770A"/>
    <w:rsid w:val="000E7A1D"/>
    <w:rsid w:val="000F1737"/>
    <w:rsid w:val="000F20AE"/>
    <w:rsid w:val="000F7812"/>
    <w:rsid w:val="00100148"/>
    <w:rsid w:val="001007F5"/>
    <w:rsid w:val="001068FD"/>
    <w:rsid w:val="00110CFA"/>
    <w:rsid w:val="00111EFD"/>
    <w:rsid w:val="0011483B"/>
    <w:rsid w:val="0011513F"/>
    <w:rsid w:val="00115D24"/>
    <w:rsid w:val="00117609"/>
    <w:rsid w:val="00117EFB"/>
    <w:rsid w:val="001319F4"/>
    <w:rsid w:val="0014107E"/>
    <w:rsid w:val="00144F13"/>
    <w:rsid w:val="001456E9"/>
    <w:rsid w:val="0015020E"/>
    <w:rsid w:val="00151F72"/>
    <w:rsid w:val="00155734"/>
    <w:rsid w:val="00165677"/>
    <w:rsid w:val="00166FC0"/>
    <w:rsid w:val="00173B3A"/>
    <w:rsid w:val="00174688"/>
    <w:rsid w:val="00176155"/>
    <w:rsid w:val="0018103C"/>
    <w:rsid w:val="00182363"/>
    <w:rsid w:val="00186EC8"/>
    <w:rsid w:val="00191A0A"/>
    <w:rsid w:val="00193A1A"/>
    <w:rsid w:val="00195A16"/>
    <w:rsid w:val="001A4A69"/>
    <w:rsid w:val="001A691C"/>
    <w:rsid w:val="001C63F7"/>
    <w:rsid w:val="001D11D6"/>
    <w:rsid w:val="001D2257"/>
    <w:rsid w:val="001D3DD5"/>
    <w:rsid w:val="001D3FF8"/>
    <w:rsid w:val="001D4328"/>
    <w:rsid w:val="001D75CC"/>
    <w:rsid w:val="001E3FE6"/>
    <w:rsid w:val="001E6CD3"/>
    <w:rsid w:val="001F0AFA"/>
    <w:rsid w:val="001F23D7"/>
    <w:rsid w:val="001F3DE0"/>
    <w:rsid w:val="002054EA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87B06"/>
    <w:rsid w:val="00291D7F"/>
    <w:rsid w:val="00291F1A"/>
    <w:rsid w:val="00292143"/>
    <w:rsid w:val="00292635"/>
    <w:rsid w:val="00293365"/>
    <w:rsid w:val="002A2A4D"/>
    <w:rsid w:val="002A5264"/>
    <w:rsid w:val="002B0F9F"/>
    <w:rsid w:val="002B300C"/>
    <w:rsid w:val="002B3C0F"/>
    <w:rsid w:val="002B5A40"/>
    <w:rsid w:val="002C649C"/>
    <w:rsid w:val="002C64D7"/>
    <w:rsid w:val="002C7EBA"/>
    <w:rsid w:val="002D5B1F"/>
    <w:rsid w:val="002D68C0"/>
    <w:rsid w:val="002E109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274F5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871E6"/>
    <w:rsid w:val="0039015E"/>
    <w:rsid w:val="003A5CAD"/>
    <w:rsid w:val="003A7C68"/>
    <w:rsid w:val="003B02F3"/>
    <w:rsid w:val="003C30E5"/>
    <w:rsid w:val="003C5BAA"/>
    <w:rsid w:val="003C6179"/>
    <w:rsid w:val="003D441E"/>
    <w:rsid w:val="003D7CDF"/>
    <w:rsid w:val="003E3A87"/>
    <w:rsid w:val="003F7EDA"/>
    <w:rsid w:val="00400584"/>
    <w:rsid w:val="004129F3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0740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296A"/>
    <w:rsid w:val="004E4A5A"/>
    <w:rsid w:val="004E4CD5"/>
    <w:rsid w:val="004F112D"/>
    <w:rsid w:val="004F2B51"/>
    <w:rsid w:val="0050780F"/>
    <w:rsid w:val="00511AA8"/>
    <w:rsid w:val="0052426E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050E"/>
    <w:rsid w:val="00571A4A"/>
    <w:rsid w:val="00577078"/>
    <w:rsid w:val="0057770D"/>
    <w:rsid w:val="00583509"/>
    <w:rsid w:val="00584B61"/>
    <w:rsid w:val="00590DC2"/>
    <w:rsid w:val="005975B8"/>
    <w:rsid w:val="005B6791"/>
    <w:rsid w:val="005C3546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682D"/>
    <w:rsid w:val="006174E8"/>
    <w:rsid w:val="00623076"/>
    <w:rsid w:val="00624DBD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C1962"/>
    <w:rsid w:val="007D0112"/>
    <w:rsid w:val="007D0A21"/>
    <w:rsid w:val="007D3812"/>
    <w:rsid w:val="007D4377"/>
    <w:rsid w:val="007E0CA1"/>
    <w:rsid w:val="007F50B4"/>
    <w:rsid w:val="007F5976"/>
    <w:rsid w:val="007F77D5"/>
    <w:rsid w:val="00802F0C"/>
    <w:rsid w:val="008042F1"/>
    <w:rsid w:val="008105BF"/>
    <w:rsid w:val="0081238E"/>
    <w:rsid w:val="008172CA"/>
    <w:rsid w:val="008176E2"/>
    <w:rsid w:val="00833EBF"/>
    <w:rsid w:val="008400A0"/>
    <w:rsid w:val="00840765"/>
    <w:rsid w:val="0084076A"/>
    <w:rsid w:val="00845235"/>
    <w:rsid w:val="008452BB"/>
    <w:rsid w:val="008461A2"/>
    <w:rsid w:val="00852FA5"/>
    <w:rsid w:val="00853680"/>
    <w:rsid w:val="00871CAD"/>
    <w:rsid w:val="00874BBA"/>
    <w:rsid w:val="0088588B"/>
    <w:rsid w:val="00890998"/>
    <w:rsid w:val="00896087"/>
    <w:rsid w:val="008A020E"/>
    <w:rsid w:val="008B38E1"/>
    <w:rsid w:val="008B5A09"/>
    <w:rsid w:val="008C3A91"/>
    <w:rsid w:val="008C6D44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37961"/>
    <w:rsid w:val="0094103F"/>
    <w:rsid w:val="00945CE4"/>
    <w:rsid w:val="009525A8"/>
    <w:rsid w:val="0095509E"/>
    <w:rsid w:val="00961893"/>
    <w:rsid w:val="00977ACA"/>
    <w:rsid w:val="009855E7"/>
    <w:rsid w:val="00994FDA"/>
    <w:rsid w:val="009A1816"/>
    <w:rsid w:val="009A48BF"/>
    <w:rsid w:val="009A513C"/>
    <w:rsid w:val="009A7870"/>
    <w:rsid w:val="009C7F0E"/>
    <w:rsid w:val="009D4576"/>
    <w:rsid w:val="009D648A"/>
    <w:rsid w:val="009E535B"/>
    <w:rsid w:val="009E6A5E"/>
    <w:rsid w:val="009E76DC"/>
    <w:rsid w:val="00A00A68"/>
    <w:rsid w:val="00A102DA"/>
    <w:rsid w:val="00A207A0"/>
    <w:rsid w:val="00A227D2"/>
    <w:rsid w:val="00A2412D"/>
    <w:rsid w:val="00A244D4"/>
    <w:rsid w:val="00A256E8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2910"/>
    <w:rsid w:val="00AA3695"/>
    <w:rsid w:val="00AA534E"/>
    <w:rsid w:val="00AB0FB6"/>
    <w:rsid w:val="00AB430B"/>
    <w:rsid w:val="00AB5D6E"/>
    <w:rsid w:val="00AB5F90"/>
    <w:rsid w:val="00AC7476"/>
    <w:rsid w:val="00AD7957"/>
    <w:rsid w:val="00AE5B08"/>
    <w:rsid w:val="00AF0E90"/>
    <w:rsid w:val="00AF3565"/>
    <w:rsid w:val="00AF5CAD"/>
    <w:rsid w:val="00AF6467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86864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D152C"/>
    <w:rsid w:val="00BE26AE"/>
    <w:rsid w:val="00BE29C6"/>
    <w:rsid w:val="00BE67A4"/>
    <w:rsid w:val="00BF1AC9"/>
    <w:rsid w:val="00BF5011"/>
    <w:rsid w:val="00BF7F11"/>
    <w:rsid w:val="00C04B71"/>
    <w:rsid w:val="00C06F01"/>
    <w:rsid w:val="00C10000"/>
    <w:rsid w:val="00C13393"/>
    <w:rsid w:val="00C15DE5"/>
    <w:rsid w:val="00C16F66"/>
    <w:rsid w:val="00C20B36"/>
    <w:rsid w:val="00C30703"/>
    <w:rsid w:val="00C31534"/>
    <w:rsid w:val="00C3342C"/>
    <w:rsid w:val="00C36087"/>
    <w:rsid w:val="00C401BD"/>
    <w:rsid w:val="00C50FE0"/>
    <w:rsid w:val="00C51A49"/>
    <w:rsid w:val="00C56D48"/>
    <w:rsid w:val="00C57C64"/>
    <w:rsid w:val="00C6503B"/>
    <w:rsid w:val="00C67755"/>
    <w:rsid w:val="00C711A8"/>
    <w:rsid w:val="00C74FF8"/>
    <w:rsid w:val="00C848FD"/>
    <w:rsid w:val="00C9278B"/>
    <w:rsid w:val="00C96997"/>
    <w:rsid w:val="00CA548C"/>
    <w:rsid w:val="00CA622C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26D96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205"/>
    <w:rsid w:val="00D66769"/>
    <w:rsid w:val="00D72098"/>
    <w:rsid w:val="00D739A8"/>
    <w:rsid w:val="00DA7DC1"/>
    <w:rsid w:val="00DC46E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47736"/>
    <w:rsid w:val="00E50442"/>
    <w:rsid w:val="00E511D7"/>
    <w:rsid w:val="00E603FA"/>
    <w:rsid w:val="00E72116"/>
    <w:rsid w:val="00E72143"/>
    <w:rsid w:val="00E726C4"/>
    <w:rsid w:val="00E82434"/>
    <w:rsid w:val="00E85829"/>
    <w:rsid w:val="00E90D8B"/>
    <w:rsid w:val="00EA14D2"/>
    <w:rsid w:val="00EA6F2F"/>
    <w:rsid w:val="00EC3F0B"/>
    <w:rsid w:val="00EC6C3F"/>
    <w:rsid w:val="00EC7CBA"/>
    <w:rsid w:val="00ED2B9F"/>
    <w:rsid w:val="00ED7BE7"/>
    <w:rsid w:val="00EF1EFF"/>
    <w:rsid w:val="00EF2000"/>
    <w:rsid w:val="00EF2171"/>
    <w:rsid w:val="00EF37C5"/>
    <w:rsid w:val="00F0116C"/>
    <w:rsid w:val="00F048E7"/>
    <w:rsid w:val="00F04ADB"/>
    <w:rsid w:val="00F1111A"/>
    <w:rsid w:val="00F158C3"/>
    <w:rsid w:val="00F20B82"/>
    <w:rsid w:val="00F26C50"/>
    <w:rsid w:val="00F33265"/>
    <w:rsid w:val="00F36BCF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C5B78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0139FFAC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  <w:style w:type="paragraph" w:customStyle="1" w:styleId="rvps2">
    <w:name w:val="rvps2"/>
    <w:basedOn w:val="a"/>
    <w:rsid w:val="0051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8C5D-F169-4AD6-AF0A-F412FB7A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1717</Words>
  <Characters>12064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76</cp:revision>
  <cp:lastPrinted>2021-09-16T07:14:00Z</cp:lastPrinted>
  <dcterms:created xsi:type="dcterms:W3CDTF">2021-02-18T12:27:00Z</dcterms:created>
  <dcterms:modified xsi:type="dcterms:W3CDTF">2021-12-21T12:00:00Z</dcterms:modified>
</cp:coreProperties>
</file>