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5" w:rsidRPr="001E3C00" w:rsidRDefault="000300D5" w:rsidP="000300D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E3C00">
        <w:rPr>
          <w:rFonts w:ascii="Times New Roman" w:hAnsi="Times New Roman"/>
          <w:b/>
          <w:bCs/>
          <w:sz w:val="24"/>
          <w:szCs w:val="28"/>
        </w:rPr>
        <w:t>Істотні умови договору</w:t>
      </w:r>
    </w:p>
    <w:p w:rsidR="000300D5" w:rsidRPr="001E3C00" w:rsidRDefault="000300D5" w:rsidP="000300D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300D5" w:rsidRDefault="000300D5" w:rsidP="000300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C00">
        <w:rPr>
          <w:rFonts w:ascii="Times New Roman" w:hAnsi="Times New Roman"/>
          <w:b/>
          <w:sz w:val="24"/>
          <w:szCs w:val="28"/>
        </w:rPr>
        <w:t>Предмет договору:</w:t>
      </w:r>
      <w:r w:rsidRPr="001E3C0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нежитлові будівлі (нерухоме майно), а саме: </w:t>
      </w:r>
      <w:proofErr w:type="spellStart"/>
      <w:r w:rsidRPr="00540706">
        <w:rPr>
          <w:rFonts w:ascii="Times New Roman" w:hAnsi="Times New Roman"/>
          <w:sz w:val="24"/>
          <w:szCs w:val="24"/>
        </w:rPr>
        <w:t>Ленкуток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 з конторою, загальною площею 298,6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1960; Їдальня, загальною площею 355,5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1972; Будівля диспетчерської служби, загальною площею 56,0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1974; Магазин, загальною площею 72,7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1959; </w:t>
      </w:r>
      <w:proofErr w:type="spellStart"/>
      <w:r w:rsidRPr="00540706">
        <w:rPr>
          <w:rFonts w:ascii="Times New Roman" w:hAnsi="Times New Roman"/>
          <w:sz w:val="24"/>
          <w:szCs w:val="24"/>
        </w:rPr>
        <w:t>Автогараж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 (легкових автомобілів), загальною площею 332,0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>., рік побудови 1968/1986; Склад матеріал</w:t>
      </w:r>
      <w:r>
        <w:rPr>
          <w:rFonts w:ascii="Times New Roman" w:hAnsi="Times New Roman"/>
          <w:sz w:val="24"/>
          <w:szCs w:val="24"/>
        </w:rPr>
        <w:t>ів</w:t>
      </w:r>
      <w:r w:rsidRPr="00540706">
        <w:rPr>
          <w:rFonts w:ascii="Times New Roman" w:hAnsi="Times New Roman"/>
          <w:sz w:val="24"/>
          <w:szCs w:val="24"/>
        </w:rPr>
        <w:t xml:space="preserve">, загальною площею 241,4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1991; Будівля </w:t>
      </w:r>
      <w:proofErr w:type="spellStart"/>
      <w:r w:rsidRPr="00540706">
        <w:rPr>
          <w:rFonts w:ascii="Times New Roman" w:hAnsi="Times New Roman"/>
          <w:sz w:val="24"/>
          <w:szCs w:val="24"/>
        </w:rPr>
        <w:t>енергоцеху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, загальною площею 96,0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1958; Газобалонний склад, загальною площею 26,3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1966; Будівля пилорами, загальною площею 262,2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1960; Турбоцех, загальною площею 340,6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1960; Цех гарячого навернення, загальною площею 75,0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>., рік побудови 1962; Мех</w:t>
      </w:r>
      <w:r>
        <w:rPr>
          <w:rFonts w:ascii="Times New Roman" w:hAnsi="Times New Roman"/>
          <w:sz w:val="24"/>
          <w:szCs w:val="24"/>
        </w:rPr>
        <w:t xml:space="preserve">анічна </w:t>
      </w:r>
      <w:r w:rsidRPr="00540706">
        <w:rPr>
          <w:rFonts w:ascii="Times New Roman" w:hAnsi="Times New Roman"/>
          <w:sz w:val="24"/>
          <w:szCs w:val="24"/>
        </w:rPr>
        <w:t>майстерня, загальною площею 308,9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1961; Вбиральня, загальною площею 3,4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40706">
        <w:rPr>
          <w:rFonts w:ascii="Times New Roman" w:hAnsi="Times New Roman"/>
          <w:sz w:val="24"/>
          <w:szCs w:val="24"/>
        </w:rPr>
        <w:t>Камерально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-лабораторний корпус, загальною площею 1999,4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1979; Склад, загальною площею 1364,0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1986; Котельня з душовою, загальною площею 124,7кв.м., рік побудови 1960; </w:t>
      </w:r>
      <w:r>
        <w:rPr>
          <w:rFonts w:ascii="Times New Roman" w:hAnsi="Times New Roman"/>
          <w:sz w:val="24"/>
          <w:szCs w:val="24"/>
        </w:rPr>
        <w:t>П</w:t>
      </w:r>
      <w:r w:rsidRPr="00540706">
        <w:rPr>
          <w:rFonts w:ascii="Times New Roman" w:hAnsi="Times New Roman"/>
          <w:sz w:val="24"/>
          <w:szCs w:val="24"/>
        </w:rPr>
        <w:t>рохідн</w:t>
      </w:r>
      <w:r>
        <w:rPr>
          <w:rFonts w:ascii="Times New Roman" w:hAnsi="Times New Roman"/>
          <w:sz w:val="24"/>
          <w:szCs w:val="24"/>
        </w:rPr>
        <w:t>а</w:t>
      </w:r>
      <w:r w:rsidRPr="00540706">
        <w:rPr>
          <w:rFonts w:ascii="Times New Roman" w:hAnsi="Times New Roman"/>
          <w:sz w:val="24"/>
          <w:szCs w:val="24"/>
        </w:rPr>
        <w:t xml:space="preserve">, загальною площею </w:t>
      </w:r>
      <w:r w:rsidRPr="001E218C">
        <w:rPr>
          <w:rFonts w:ascii="Times New Roman" w:hAnsi="Times New Roman"/>
          <w:sz w:val="24"/>
          <w:szCs w:val="24"/>
        </w:rPr>
        <w:t xml:space="preserve">99,5 </w:t>
      </w:r>
      <w:proofErr w:type="spellStart"/>
      <w:r w:rsidRPr="001E218C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1988; Склад для запчастин, загальною площею 34,2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1979; Склад (тимчасова будівля); Гараж, загальною площею 1086,9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1984; Напівзруйнована будівля; Напівзруйнована будівля; Склад, загальною площею 45,6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 xml:space="preserve">., рік побудови 1984; Вбиральня загальною площею 2,7 </w:t>
      </w:r>
      <w:proofErr w:type="spellStart"/>
      <w:r w:rsidRPr="00540706">
        <w:rPr>
          <w:rFonts w:ascii="Times New Roman" w:hAnsi="Times New Roman"/>
          <w:sz w:val="24"/>
          <w:szCs w:val="24"/>
        </w:rPr>
        <w:t>кв.м</w:t>
      </w:r>
      <w:proofErr w:type="spellEnd"/>
      <w:r w:rsidRPr="00540706">
        <w:rPr>
          <w:rFonts w:ascii="Times New Roman" w:hAnsi="Times New Roman"/>
          <w:sz w:val="24"/>
          <w:szCs w:val="24"/>
        </w:rPr>
        <w:t>.</w:t>
      </w:r>
      <w:r w:rsidRPr="004A00E7">
        <w:rPr>
          <w:rFonts w:ascii="Times New Roman" w:hAnsi="Times New Roman"/>
          <w:sz w:val="24"/>
          <w:szCs w:val="24"/>
        </w:rPr>
        <w:t xml:space="preserve"> </w:t>
      </w:r>
    </w:p>
    <w:p w:rsidR="000300D5" w:rsidRPr="001E3C00" w:rsidRDefault="000300D5" w:rsidP="000300D5">
      <w:pPr>
        <w:spacing w:before="120" w:after="120"/>
        <w:jc w:val="both"/>
        <w:rPr>
          <w:rFonts w:ascii="Times New Roman" w:hAnsi="Times New Roman"/>
          <w:sz w:val="24"/>
          <w:szCs w:val="28"/>
        </w:rPr>
      </w:pPr>
      <w:r w:rsidRPr="001E3C00">
        <w:rPr>
          <w:rFonts w:ascii="Times New Roman" w:hAnsi="Times New Roman"/>
          <w:sz w:val="24"/>
          <w:szCs w:val="28"/>
        </w:rPr>
        <w:t>Будівл</w:t>
      </w:r>
      <w:r>
        <w:rPr>
          <w:rFonts w:ascii="Times New Roman" w:hAnsi="Times New Roman"/>
          <w:sz w:val="24"/>
          <w:szCs w:val="28"/>
        </w:rPr>
        <w:t>і</w:t>
      </w:r>
      <w:r w:rsidRPr="001E3C00">
        <w:rPr>
          <w:rFonts w:ascii="Times New Roman" w:hAnsi="Times New Roman"/>
          <w:sz w:val="24"/>
          <w:szCs w:val="28"/>
        </w:rPr>
        <w:t xml:space="preserve"> знаходиться на земельній ділянці з кадастровим номером:</w:t>
      </w:r>
      <w:r w:rsidRPr="007438E4">
        <w:rPr>
          <w:rFonts w:ascii="Times New Roman" w:hAnsi="Times New Roman"/>
          <w:bCs/>
          <w:sz w:val="24"/>
          <w:szCs w:val="24"/>
        </w:rPr>
        <w:t xml:space="preserve"> </w:t>
      </w:r>
      <w:r w:rsidRPr="008724B1">
        <w:rPr>
          <w:rFonts w:ascii="Times New Roman" w:hAnsi="Times New Roman"/>
          <w:bCs/>
          <w:sz w:val="24"/>
          <w:szCs w:val="24"/>
        </w:rPr>
        <w:t>5321384801:01:025:0003</w:t>
      </w:r>
      <w:r>
        <w:rPr>
          <w:rFonts w:ascii="Times New Roman" w:hAnsi="Times New Roman"/>
          <w:bCs/>
          <w:sz w:val="24"/>
          <w:szCs w:val="24"/>
        </w:rPr>
        <w:t>.</w:t>
      </w:r>
      <w:r w:rsidRPr="001E3C00">
        <w:rPr>
          <w:rFonts w:ascii="Times New Roman" w:hAnsi="Times New Roman"/>
          <w:sz w:val="24"/>
          <w:szCs w:val="28"/>
        </w:rPr>
        <w:t xml:space="preserve"> </w:t>
      </w:r>
    </w:p>
    <w:p w:rsidR="000300D5" w:rsidRPr="001E3C00" w:rsidRDefault="000300D5" w:rsidP="000300D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1E3C00">
        <w:rPr>
          <w:rFonts w:ascii="Times New Roman" w:hAnsi="Times New Roman"/>
          <w:b/>
          <w:sz w:val="24"/>
          <w:szCs w:val="28"/>
        </w:rPr>
        <w:t>Ціна</w:t>
      </w:r>
      <w:r w:rsidRPr="001E3C00">
        <w:rPr>
          <w:rFonts w:ascii="Times New Roman" w:hAnsi="Times New Roman"/>
          <w:sz w:val="24"/>
          <w:szCs w:val="28"/>
        </w:rPr>
        <w:t>: буде визначена за результатами електронного аукціону, але не менше</w:t>
      </w:r>
      <w:r w:rsidRPr="001E3C0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E3C00">
        <w:rPr>
          <w:rFonts w:ascii="Times New Roman" w:hAnsi="Times New Roman"/>
          <w:bCs/>
          <w:sz w:val="24"/>
          <w:szCs w:val="28"/>
        </w:rPr>
        <w:t xml:space="preserve">стартової ціни лоту, а саме </w:t>
      </w:r>
      <w:r w:rsidRPr="007438E4">
        <w:rPr>
          <w:rFonts w:ascii="Times New Roman" w:hAnsi="Times New Roman"/>
          <w:bCs/>
          <w:sz w:val="24"/>
          <w:szCs w:val="24"/>
        </w:rPr>
        <w:t>5 235</w:t>
      </w:r>
      <w:r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7438E4">
        <w:rPr>
          <w:rFonts w:ascii="Times New Roman" w:hAnsi="Times New Roman"/>
          <w:bCs/>
          <w:sz w:val="24"/>
          <w:szCs w:val="24"/>
        </w:rPr>
        <w:t>288</w:t>
      </w:r>
      <w:r w:rsidRPr="00C65853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п’ять</w:t>
      </w:r>
      <w:r w:rsidRPr="00C65853">
        <w:rPr>
          <w:rFonts w:ascii="Times New Roman" w:hAnsi="Times New Roman"/>
          <w:bCs/>
          <w:sz w:val="24"/>
          <w:szCs w:val="24"/>
        </w:rPr>
        <w:t xml:space="preserve"> мільйон</w:t>
      </w:r>
      <w:r>
        <w:rPr>
          <w:rFonts w:ascii="Times New Roman" w:hAnsi="Times New Roman"/>
          <w:bCs/>
          <w:sz w:val="24"/>
          <w:szCs w:val="24"/>
        </w:rPr>
        <w:t>ів</w:t>
      </w:r>
      <w:r w:rsidRPr="00C658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двісті тридцять п’ять</w:t>
      </w:r>
      <w:r w:rsidRPr="00C65853">
        <w:rPr>
          <w:rFonts w:ascii="Times New Roman" w:hAnsi="Times New Roman"/>
          <w:bCs/>
          <w:sz w:val="24"/>
          <w:szCs w:val="24"/>
        </w:rPr>
        <w:t xml:space="preserve"> тисяч </w:t>
      </w:r>
      <w:r>
        <w:rPr>
          <w:rFonts w:ascii="Times New Roman" w:hAnsi="Times New Roman"/>
          <w:bCs/>
          <w:sz w:val="24"/>
          <w:szCs w:val="24"/>
        </w:rPr>
        <w:t>двісті вісімдесят вісім) грн.</w:t>
      </w:r>
      <w:r w:rsidRPr="00C65853">
        <w:rPr>
          <w:rFonts w:ascii="Times New Roman" w:hAnsi="Times New Roman"/>
          <w:bCs/>
          <w:sz w:val="24"/>
          <w:szCs w:val="24"/>
        </w:rPr>
        <w:t xml:space="preserve"> 00 коп. з урахуванням ПДВ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300D5" w:rsidRPr="007756F6" w:rsidRDefault="000300D5" w:rsidP="000300D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1E3C00">
        <w:rPr>
          <w:rFonts w:ascii="Times New Roman" w:hAnsi="Times New Roman"/>
          <w:b/>
          <w:sz w:val="24"/>
          <w:szCs w:val="28"/>
        </w:rPr>
        <w:t>Порядок розрахунків:</w:t>
      </w:r>
      <w:r w:rsidRPr="001E3C00">
        <w:rPr>
          <w:rFonts w:ascii="Times New Roman" w:hAnsi="Times New Roman"/>
          <w:sz w:val="24"/>
          <w:szCs w:val="28"/>
        </w:rPr>
        <w:t xml:space="preserve"> </w:t>
      </w:r>
      <w:r w:rsidRPr="007756F6">
        <w:rPr>
          <w:rFonts w:ascii="Times New Roman" w:hAnsi="Times New Roman"/>
          <w:sz w:val="24"/>
          <w:szCs w:val="28"/>
        </w:rPr>
        <w:t>протягом 3 (трьох) банківських днів з наступного дня після дати підписання цього договору купівлі-продажу – 100% (сто) відсотків ціни нерухомого майна, визначеної за рез</w:t>
      </w:r>
      <w:r>
        <w:rPr>
          <w:rFonts w:ascii="Times New Roman" w:hAnsi="Times New Roman"/>
          <w:sz w:val="24"/>
          <w:szCs w:val="28"/>
        </w:rPr>
        <w:t>ультатами електронного аукціону.</w:t>
      </w:r>
    </w:p>
    <w:p w:rsidR="000300D5" w:rsidRPr="001E3C00" w:rsidRDefault="000300D5" w:rsidP="000300D5">
      <w:pPr>
        <w:spacing w:before="120" w:after="120"/>
        <w:jc w:val="both"/>
        <w:rPr>
          <w:rFonts w:ascii="Times New Roman" w:hAnsi="Times New Roman"/>
          <w:sz w:val="24"/>
          <w:szCs w:val="28"/>
        </w:rPr>
      </w:pPr>
      <w:r w:rsidRPr="001E3C00">
        <w:rPr>
          <w:rFonts w:ascii="Times New Roman" w:hAnsi="Times New Roman"/>
          <w:b/>
          <w:sz w:val="24"/>
          <w:szCs w:val="28"/>
        </w:rPr>
        <w:t xml:space="preserve">Строк дії договору: </w:t>
      </w:r>
      <w:r w:rsidRPr="001E3C00">
        <w:rPr>
          <w:rFonts w:ascii="Times New Roman" w:hAnsi="Times New Roman"/>
          <w:sz w:val="24"/>
          <w:szCs w:val="28"/>
        </w:rPr>
        <w:t>до повного виконання Сторонами своїх зобов’язань по договору.</w:t>
      </w:r>
    </w:p>
    <w:p w:rsidR="000300D5" w:rsidRDefault="000300D5" w:rsidP="000300D5">
      <w:pPr>
        <w:spacing w:before="120" w:after="120"/>
        <w:jc w:val="both"/>
        <w:rPr>
          <w:rFonts w:ascii="Times New Roman" w:hAnsi="Times New Roman"/>
          <w:sz w:val="24"/>
          <w:szCs w:val="28"/>
        </w:rPr>
      </w:pPr>
      <w:r w:rsidRPr="001E3C00">
        <w:rPr>
          <w:rFonts w:ascii="Times New Roman" w:hAnsi="Times New Roman"/>
          <w:b/>
          <w:sz w:val="24"/>
          <w:szCs w:val="28"/>
        </w:rPr>
        <w:t>Інші витрати:</w:t>
      </w:r>
      <w:r w:rsidRPr="001E3C00">
        <w:rPr>
          <w:rFonts w:ascii="Times New Roman" w:hAnsi="Times New Roman"/>
          <w:sz w:val="24"/>
          <w:szCs w:val="28"/>
        </w:rPr>
        <w:t xml:space="preserve"> витрати, пов’язані з укладенням та нотаріальним посвідченням цього Договору, сплачує Покупець. </w:t>
      </w:r>
    </w:p>
    <w:p w:rsidR="000300D5" w:rsidRPr="0008454F" w:rsidRDefault="000300D5" w:rsidP="000300D5">
      <w:pPr>
        <w:spacing w:before="120" w:after="120"/>
        <w:jc w:val="both"/>
        <w:rPr>
          <w:rFonts w:ascii="Times New Roman" w:hAnsi="Times New Roman"/>
          <w:b/>
          <w:sz w:val="24"/>
          <w:szCs w:val="28"/>
        </w:rPr>
      </w:pPr>
      <w:r w:rsidRPr="0008454F">
        <w:rPr>
          <w:rFonts w:ascii="Times New Roman" w:hAnsi="Times New Roman"/>
          <w:b/>
          <w:sz w:val="24"/>
          <w:szCs w:val="28"/>
        </w:rPr>
        <w:t>Момент виникнення права власності:</w:t>
      </w:r>
    </w:p>
    <w:p w:rsidR="000300D5" w:rsidRDefault="000300D5" w:rsidP="000300D5">
      <w:pPr>
        <w:spacing w:before="120" w:after="120"/>
        <w:jc w:val="both"/>
        <w:rPr>
          <w:rFonts w:ascii="Times New Roman" w:hAnsi="Times New Roman"/>
          <w:b/>
          <w:sz w:val="24"/>
          <w:szCs w:val="28"/>
        </w:rPr>
      </w:pPr>
      <w:r w:rsidRPr="0008454F">
        <w:rPr>
          <w:rFonts w:ascii="Times New Roman" w:hAnsi="Times New Roman"/>
          <w:sz w:val="24"/>
          <w:szCs w:val="28"/>
        </w:rPr>
        <w:t>Право власності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D71FDF">
        <w:rPr>
          <w:rFonts w:ascii="Times New Roman" w:hAnsi="Times New Roman"/>
          <w:sz w:val="24"/>
          <w:szCs w:val="28"/>
        </w:rPr>
        <w:t>на нерухоме майно, що є предметом Договору відповідно до статті 334 Цивільного кодексу України, виникає у Покупця з моменту державної реєстрації цього права у відповідності до вимог чинного законодавства України.</w:t>
      </w:r>
    </w:p>
    <w:p w:rsidR="000300D5" w:rsidRPr="005452D4" w:rsidRDefault="000300D5" w:rsidP="000300D5">
      <w:pPr>
        <w:spacing w:before="120" w:after="120"/>
        <w:jc w:val="both"/>
        <w:rPr>
          <w:rFonts w:ascii="Times New Roman" w:hAnsi="Times New Roman"/>
          <w:sz w:val="24"/>
          <w:szCs w:val="28"/>
        </w:rPr>
      </w:pPr>
      <w:r w:rsidRPr="0008454F">
        <w:rPr>
          <w:rFonts w:ascii="Times New Roman" w:hAnsi="Times New Roman"/>
          <w:sz w:val="24"/>
          <w:szCs w:val="28"/>
        </w:rPr>
        <w:t>Право власності Покупця на нерухоме майно,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5452D4">
        <w:rPr>
          <w:rFonts w:ascii="Times New Roman" w:hAnsi="Times New Roman"/>
          <w:sz w:val="24"/>
          <w:szCs w:val="28"/>
        </w:rPr>
        <w:t>що є предметом договору, підлягає державній реєстрації речових прав на нерухоме майно відповідно до Закону України «Про державну реєстраці</w:t>
      </w:r>
      <w:r>
        <w:rPr>
          <w:rFonts w:ascii="Times New Roman" w:hAnsi="Times New Roman"/>
          <w:sz w:val="24"/>
          <w:szCs w:val="28"/>
        </w:rPr>
        <w:t>ю</w:t>
      </w:r>
      <w:r w:rsidRPr="005452D4">
        <w:rPr>
          <w:rFonts w:ascii="Times New Roman" w:hAnsi="Times New Roman"/>
          <w:sz w:val="24"/>
          <w:szCs w:val="28"/>
        </w:rPr>
        <w:t xml:space="preserve"> речових прав на нерухоме майно та їх обтяжень» після повної оплати Покупцем вартості нерухомого майна.</w:t>
      </w:r>
    </w:p>
    <w:p w:rsidR="000300D5" w:rsidRPr="005452D4" w:rsidRDefault="000300D5" w:rsidP="000300D5">
      <w:pPr>
        <w:spacing w:before="120" w:after="120"/>
        <w:jc w:val="both"/>
        <w:rPr>
          <w:rFonts w:ascii="Times New Roman" w:hAnsi="Times New Roman"/>
          <w:sz w:val="24"/>
          <w:szCs w:val="28"/>
        </w:rPr>
      </w:pPr>
      <w:r w:rsidRPr="005452D4">
        <w:rPr>
          <w:rFonts w:ascii="Times New Roman" w:hAnsi="Times New Roman"/>
          <w:sz w:val="24"/>
          <w:szCs w:val="28"/>
        </w:rPr>
        <w:t>Укладений договір та заява про повний розрахунок є підставою для подальшої реєстрації права власності на нерухоме майно за Покупцем.</w:t>
      </w:r>
    </w:p>
    <w:p w:rsidR="000300D5" w:rsidRDefault="000300D5" w:rsidP="000300D5">
      <w:pPr>
        <w:spacing w:before="120" w:after="120"/>
        <w:jc w:val="both"/>
        <w:rPr>
          <w:rFonts w:ascii="Times New Roman" w:hAnsi="Times New Roman"/>
          <w:sz w:val="24"/>
          <w:szCs w:val="28"/>
        </w:rPr>
      </w:pPr>
      <w:r w:rsidRPr="005452D4">
        <w:rPr>
          <w:rFonts w:ascii="Times New Roman" w:hAnsi="Times New Roman"/>
          <w:sz w:val="24"/>
          <w:szCs w:val="28"/>
        </w:rPr>
        <w:t xml:space="preserve">Передача Продавцем Майна Покупцеві здійснюється </w:t>
      </w:r>
      <w:r>
        <w:rPr>
          <w:rFonts w:ascii="Times New Roman" w:hAnsi="Times New Roman"/>
          <w:sz w:val="24"/>
          <w:szCs w:val="28"/>
        </w:rPr>
        <w:t xml:space="preserve">після повної оплати вартості нерухомого майна </w:t>
      </w:r>
      <w:r w:rsidRPr="005452D4">
        <w:rPr>
          <w:rFonts w:ascii="Times New Roman" w:hAnsi="Times New Roman"/>
          <w:sz w:val="24"/>
          <w:szCs w:val="28"/>
        </w:rPr>
        <w:t>шляхом підписан</w:t>
      </w:r>
      <w:r>
        <w:rPr>
          <w:rFonts w:ascii="Times New Roman" w:hAnsi="Times New Roman"/>
          <w:sz w:val="24"/>
          <w:szCs w:val="28"/>
        </w:rPr>
        <w:t>ня с</w:t>
      </w:r>
      <w:r w:rsidRPr="005452D4">
        <w:rPr>
          <w:rFonts w:ascii="Times New Roman" w:hAnsi="Times New Roman"/>
          <w:sz w:val="24"/>
          <w:szCs w:val="28"/>
        </w:rPr>
        <w:t xml:space="preserve">торонами договору Акту приймання-передачі майна. </w:t>
      </w:r>
    </w:p>
    <w:p w:rsidR="000300D5" w:rsidRPr="005452D4" w:rsidRDefault="000300D5" w:rsidP="000300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A7F68" w:rsidRDefault="000300D5">
      <w:bookmarkStart w:id="0" w:name="_GoBack"/>
      <w:bookmarkEnd w:id="0"/>
    </w:p>
    <w:sectPr w:rsidR="007A7F68" w:rsidSect="002B03EA">
      <w:pgSz w:w="11906" w:h="16838"/>
      <w:pgMar w:top="89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52"/>
    <w:rsid w:val="000300D5"/>
    <w:rsid w:val="0094489C"/>
    <w:rsid w:val="00945425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1958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Олександра Ніколайчук</cp:lastModifiedBy>
  <cp:revision>2</cp:revision>
  <dcterms:created xsi:type="dcterms:W3CDTF">2020-10-07T09:08:00Z</dcterms:created>
  <dcterms:modified xsi:type="dcterms:W3CDTF">2020-10-07T09:09:00Z</dcterms:modified>
</cp:coreProperties>
</file>