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3"/>
        <w:gridCol w:w="5132"/>
      </w:tblGrid>
      <w:tr w:rsidR="00230030" w:rsidRPr="00230030" w:rsidTr="00230030">
        <w:trPr>
          <w:trHeight w:val="255"/>
        </w:trPr>
        <w:tc>
          <w:tcPr>
            <w:tcW w:w="9345" w:type="dxa"/>
            <w:gridSpan w:val="2"/>
            <w:noWrap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через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нерухоме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майно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державного майна,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 xml:space="preserve">Ключ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>5219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0030">
              <w:rPr>
                <w:rFonts w:ascii="Times New Roman" w:hAnsi="Times New Roman" w:cs="Times New Roman"/>
                <w:lang w:val="uk-UA"/>
              </w:rPr>
              <w:t>Оренда державного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нежитлового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приміщення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300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8,3 кв. м, </w:t>
            </w:r>
            <w:r>
              <w:rPr>
                <w:rFonts w:ascii="Times New Roman" w:hAnsi="Times New Roman" w:cs="Times New Roman"/>
                <w:lang w:val="uk-UA"/>
              </w:rPr>
              <w:t>на 1-му поверсі 3-поверхової будівлі адміністративного корпусу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uk-UA"/>
              </w:rPr>
              <w:t>літ.А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Pr="00230030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0030">
              <w:rPr>
                <w:rFonts w:ascii="Times New Roman" w:hAnsi="Times New Roman" w:cs="Times New Roman"/>
                <w:lang w:val="uk-UA"/>
              </w:rPr>
              <w:t>21027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ФДМУ  по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r w:rsidRPr="00230030">
              <w:rPr>
                <w:rFonts w:ascii="Times New Roman" w:hAnsi="Times New Roman" w:cs="Times New Roman"/>
                <w:bCs/>
                <w:lang w:val="uk-UA"/>
              </w:rPr>
              <w:t xml:space="preserve">21018, </w:t>
            </w:r>
            <w:r w:rsidRPr="00230030">
              <w:rPr>
                <w:rFonts w:ascii="Times New Roman" w:hAnsi="Times New Roman" w:cs="Times New Roman"/>
                <w:bCs/>
              </w:rPr>
              <w:t xml:space="preserve">м. </w:t>
            </w: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Вінниця</w:t>
            </w:r>
            <w:proofErr w:type="spellEnd"/>
            <w:r w:rsidRPr="0023003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вул</w:t>
            </w:r>
            <w:proofErr w:type="spellEnd"/>
            <w:r w:rsidRPr="00230030">
              <w:rPr>
                <w:rFonts w:ascii="Times New Roman" w:hAnsi="Times New Roman" w:cs="Times New Roman"/>
                <w:bCs/>
              </w:rPr>
              <w:t>. Гоголя, 10</w:t>
            </w:r>
          </w:p>
        </w:tc>
      </w:tr>
      <w:tr w:rsidR="00230030" w:rsidRPr="00230030" w:rsidTr="00230030">
        <w:trPr>
          <w:trHeight w:val="393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Головне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ДПС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44</w:t>
            </w:r>
            <w:r w:rsidRPr="00230030">
              <w:rPr>
                <w:rFonts w:ascii="Times New Roman" w:hAnsi="Times New Roman" w:cs="Times New Roman"/>
                <w:lang w:val="uk-UA"/>
              </w:rPr>
              <w:t>069150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9860D4">
              <w:rPr>
                <w:rFonts w:ascii="Times New Roman" w:hAnsi="Times New Roman" w:cs="Times New Roman"/>
                <w:bCs/>
                <w:lang w:val="uk-UA"/>
              </w:rPr>
              <w:t>21028, м. Вінниця, Хмельницьке шосе, 7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E7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Державне нерухоме майно</w:t>
            </w:r>
            <w:r w:rsidRPr="00E76AD9">
              <w:rPr>
                <w:rFonts w:ascii="Times New Roman" w:hAnsi="Times New Roman" w:cs="Times New Roman"/>
                <w:lang w:val="uk-UA"/>
              </w:rPr>
              <w:t xml:space="preserve"> –  </w:t>
            </w:r>
            <w:proofErr w:type="spellStart"/>
            <w:r>
              <w:rPr>
                <w:rFonts w:ascii="Times New Roman" w:hAnsi="Times New Roman" w:cs="Times New Roman"/>
              </w:rPr>
              <w:t>нежитлове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вбудоване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E76AD9">
              <w:rPr>
                <w:rFonts w:ascii="Times New Roman" w:hAnsi="Times New Roman" w:cs="Times New Roman"/>
                <w:lang w:val="uk-UA"/>
              </w:rPr>
              <w:t>,</w:t>
            </w:r>
            <w:r w:rsidRPr="00E76AD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8,3 кв. м, </w:t>
            </w:r>
            <w:r w:rsidRPr="00E76AD9">
              <w:rPr>
                <w:rFonts w:ascii="Times New Roman" w:hAnsi="Times New Roman" w:cs="Times New Roman"/>
                <w:lang w:val="uk-UA"/>
              </w:rPr>
              <w:t>на 1-му поверсі 3-поверхової будівлі адміністративного корпусу (</w:t>
            </w:r>
            <w:proofErr w:type="spellStart"/>
            <w:proofErr w:type="gramStart"/>
            <w:r w:rsidRPr="00E76AD9">
              <w:rPr>
                <w:rFonts w:ascii="Times New Roman" w:hAnsi="Times New Roman" w:cs="Times New Roman"/>
                <w:lang w:val="uk-UA"/>
              </w:rPr>
              <w:t>літ.А</w:t>
            </w:r>
            <w:proofErr w:type="spellEnd"/>
            <w:proofErr w:type="gramEnd"/>
            <w:r w:rsidRPr="00E76AD9">
              <w:rPr>
                <w:rFonts w:ascii="Times New Roman" w:hAnsi="Times New Roman" w:cs="Times New Roman"/>
                <w:lang w:val="uk-UA"/>
              </w:rPr>
              <w:t xml:space="preserve">), </w:t>
            </w:r>
            <w:r w:rsidRPr="00E76AD9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: </w:t>
            </w:r>
            <w:r w:rsidRPr="00E76AD9">
              <w:rPr>
                <w:rFonts w:ascii="Times New Roman" w:hAnsi="Times New Roman" w:cs="Times New Roman"/>
                <w:lang w:val="uk-UA"/>
              </w:rPr>
              <w:t xml:space="preserve"> 21027,</w:t>
            </w:r>
            <w:r w:rsidRPr="00E76AD9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Вінниця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вул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6AD9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E76AD9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Залишкова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3 799,24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Первісна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10 670,31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</w:t>
            </w:r>
            <w:proofErr w:type="spellEnd"/>
          </w:p>
        </w:tc>
      </w:tr>
      <w:tr w:rsidR="00230030" w:rsidRPr="00230030" w:rsidTr="00230030">
        <w:trPr>
          <w:trHeight w:val="127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https://drive.google.com/open?id=1a6DKqHX6_rwvwbUejLYw7-NzSUAceuzE, https://drive.google.com/open?id=1C1AwgQ2-uyJ34-UTpPrutc95o2KGk-3v, https://drive.google.com/open?id=1R-bx8tv_gsQosw2d9wrWCqIcj5bWlyU3</w:t>
            </w:r>
          </w:p>
        </w:tc>
      </w:tr>
      <w:tr w:rsidR="00230030" w:rsidRPr="00230030" w:rsidTr="00230030">
        <w:trPr>
          <w:trHeight w:val="28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6AD9">
              <w:rPr>
                <w:rFonts w:ascii="Times New Roman" w:hAnsi="Times New Roman" w:cs="Times New Roman"/>
                <w:lang w:val="uk-UA"/>
              </w:rPr>
              <w:t xml:space="preserve">21027, </w:t>
            </w: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Вінниця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Костянтина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Василенка, 21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8,3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будівлі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u w:val="single"/>
              </w:rPr>
            </w:pPr>
            <w:r w:rsidRPr="00230030">
              <w:rPr>
                <w:rFonts w:ascii="Times New Roman" w:hAnsi="Times New Roman" w:cs="Times New Roman"/>
                <w:u w:val="single"/>
              </w:rPr>
              <w:t>https://drive.google.com/open?id=1SntVJgV_L9nDr2xLNdIj8rKcW6nFcIrJ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1-окт-2020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типу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1054</w:t>
            </w:r>
          </w:p>
        </w:tc>
      </w:tr>
      <w:tr w:rsidR="00230030" w:rsidRPr="00230030" w:rsidTr="00751911">
        <w:trPr>
          <w:trHeight w:val="510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компенсація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оплату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земельного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(плати за землю)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23003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так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190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понад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50кВт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lastRenderedPageBreak/>
              <w:t>Опалення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є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B64B0A" w:rsidRPr="00230030" w:rsidTr="00B64B0A">
        <w:trPr>
          <w:trHeight w:val="373"/>
        </w:trPr>
        <w:tc>
          <w:tcPr>
            <w:tcW w:w="9345" w:type="dxa"/>
            <w:gridSpan w:val="2"/>
            <w:hideMark/>
          </w:tcPr>
          <w:p w:rsidR="00B64B0A" w:rsidRPr="00230030" w:rsidRDefault="00B64B0A" w:rsidP="00B64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B64B0A" w:rsidRPr="00230030" w:rsidRDefault="00B64B0A" w:rsidP="00B64B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єдиного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комплексу, до складу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належить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37,99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18,99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18,99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так,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щодо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Сил,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Держприкордонслужби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Держспецзв’язку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доходів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зборів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ксерокопіювальних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продажу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канрцелярських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товарів</w:t>
            </w:r>
            <w:proofErr w:type="spellEnd"/>
          </w:p>
        </w:tc>
      </w:tr>
      <w:tr w:rsidR="00230030" w:rsidRPr="00230030" w:rsidTr="00230030">
        <w:trPr>
          <w:trHeight w:val="153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крім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lastRenderedPageBreak/>
              <w:t xml:space="preserve">Тип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0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0</w:t>
            </w:r>
          </w:p>
        </w:tc>
      </w:tr>
      <w:tr w:rsidR="00230030" w:rsidRPr="00230030" w:rsidTr="00230030">
        <w:trPr>
          <w:trHeight w:val="204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установ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Збройних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Сил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прикордонної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кримінально-виконавчої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спеціального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правоохоронних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фіскальних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академії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наук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галузевих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академій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наук,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зазначеними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органами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своїх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функцій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Погодинне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передбачене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Контактні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(номер телефону і адреса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)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звернень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lang w:val="uk-UA"/>
              </w:rPr>
            </w:pPr>
            <w:r w:rsidRPr="00230030">
              <w:rPr>
                <w:rFonts w:ascii="Times New Roman" w:hAnsi="Times New Roman" w:cs="Times New Roman"/>
                <w:lang w:val="uk-UA"/>
              </w:rPr>
              <w:t>Ткаченко Андрій Миколайович</w:t>
            </w:r>
          </w:p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  <w:lang w:val="uk-UA"/>
              </w:rPr>
              <w:t>(0432) 56 04 16 (в робочий час)</w:t>
            </w:r>
          </w:p>
        </w:tc>
      </w:tr>
      <w:tr w:rsidR="00230030" w:rsidRPr="00230030" w:rsidTr="00230030">
        <w:trPr>
          <w:trHeight w:val="370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noWrap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>
              <w:rPr>
                <w:rFonts w:ascii="Times New Roman" w:hAnsi="Times New Roman" w:cs="Times New Roman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  <w:r w:rsidRPr="00230030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>.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20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травня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2021 року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під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noWrap/>
            <w:hideMark/>
          </w:tcPr>
          <w:p w:rsidR="00230030" w:rsidRPr="00E76AD9" w:rsidRDefault="00B64B0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0,38</w:t>
            </w:r>
            <w:bookmarkStart w:id="0" w:name="_GoBack"/>
            <w:bookmarkEnd w:id="0"/>
          </w:p>
        </w:tc>
      </w:tr>
      <w:tr w:rsidR="00230030" w:rsidRPr="00230030" w:rsidTr="00230030">
        <w:trPr>
          <w:trHeight w:val="28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E76AD9" w:rsidRDefault="00E76A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942,05</w:t>
            </w:r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600,00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кроків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плати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>99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B64B0A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230030" w:rsidRPr="00230030" w:rsidTr="00230030">
        <w:trPr>
          <w:trHeight w:val="2398"/>
        </w:trPr>
        <w:tc>
          <w:tcPr>
            <w:tcW w:w="4213" w:type="dxa"/>
            <w:hideMark/>
          </w:tcPr>
          <w:p w:rsid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lastRenderedPageBreak/>
              <w:t>Найменування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її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230030">
              <w:rPr>
                <w:rFonts w:ascii="Times New Roman" w:hAnsi="Times New Roman" w:cs="Times New Roman"/>
              </w:rPr>
              <w:t>: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Одержувач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ФДМ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230030">
              <w:rPr>
                <w:rFonts w:ascii="Times New Roman" w:hAnsi="Times New Roman" w:cs="Times New Roman"/>
              </w:rPr>
              <w:br/>
              <w:t xml:space="preserve">по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Вінницькій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Хмельницькій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областях 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№ UA648201720355259001002156369 (для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  <w:r w:rsidRPr="00230030">
              <w:rPr>
                <w:rFonts w:ascii="Times New Roman" w:hAnsi="Times New Roman" w:cs="Times New Roman"/>
              </w:rPr>
              <w:br/>
              <w:t xml:space="preserve">Банк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одержувача</w:t>
            </w:r>
            <w:proofErr w:type="spellEnd"/>
            <w:r w:rsidRPr="00230030">
              <w:rPr>
                <w:rFonts w:ascii="Times New Roman" w:hAnsi="Times New Roman" w:cs="Times New Roman"/>
              </w:rPr>
              <w:t>: ДКСУ  Код ЄДРПОУ 42964094</w:t>
            </w:r>
            <w:r w:rsidRPr="00230030">
              <w:rPr>
                <w:rFonts w:ascii="Times New Roman" w:hAnsi="Times New Roman" w:cs="Times New Roman"/>
              </w:rPr>
              <w:br/>
            </w:r>
            <w:proofErr w:type="spellStart"/>
            <w:r w:rsidRPr="0023003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обов’язково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між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із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аукціоном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методом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покрокового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зниження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цінових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20-35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днів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торговою системою про передачу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30030" w:rsidRPr="00230030" w:rsidTr="00230030">
        <w:trPr>
          <w:trHeight w:val="102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B64B0A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30030" w:rsidRPr="00230030" w:rsidTr="000B17AA">
        <w:trPr>
          <w:trHeight w:val="255"/>
        </w:trPr>
        <w:tc>
          <w:tcPr>
            <w:tcW w:w="9345" w:type="dxa"/>
            <w:gridSpan w:val="2"/>
            <w:hideMark/>
          </w:tcPr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230030" w:rsidRPr="00230030" w:rsidRDefault="00230030" w:rsidP="002300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Cs/>
              </w:rPr>
              <w:t>Ні</w:t>
            </w:r>
            <w:proofErr w:type="spellEnd"/>
          </w:p>
        </w:tc>
      </w:tr>
      <w:tr w:rsidR="00230030" w:rsidRPr="00230030" w:rsidTr="00230030">
        <w:trPr>
          <w:trHeight w:val="25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Cs/>
              </w:rPr>
            </w:pPr>
            <w:r w:rsidRPr="002300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самим закладом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ксерокопіювальних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продажу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канрцелярських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непродовольчих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товарів</w:t>
            </w:r>
            <w:proofErr w:type="spellEnd"/>
          </w:p>
        </w:tc>
      </w:tr>
      <w:tr w:rsidR="00230030" w:rsidRPr="00230030" w:rsidTr="00230030">
        <w:trPr>
          <w:trHeight w:val="765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Чи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має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її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або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якої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так,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сплачує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податок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на землю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proofErr w:type="spellStart"/>
            <w:r w:rsidRPr="00230030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</w:rPr>
              <w:t>які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u w:val="single"/>
              </w:rPr>
            </w:pPr>
            <w:r w:rsidRPr="00230030">
              <w:rPr>
                <w:rFonts w:ascii="Times New Roman" w:hAnsi="Times New Roman" w:cs="Times New Roman"/>
                <w:u w:val="single"/>
              </w:rPr>
              <w:t>https://drive.google.com/open?id=12DhKc4C9xX-jrQHaL8ui5mK_I_N2CwKM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230030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23003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32" w:type="dxa"/>
            <w:hideMark/>
          </w:tcPr>
          <w:p w:rsidR="00230030" w:rsidRPr="00230030" w:rsidRDefault="00230030" w:rsidP="00230030">
            <w:pPr>
              <w:rPr>
                <w:rFonts w:ascii="Times New Roman" w:hAnsi="Times New Roman" w:cs="Times New Roman"/>
                <w:b/>
                <w:bCs/>
              </w:rPr>
            </w:pPr>
            <w:r w:rsidRPr="002300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30030" w:rsidRPr="00230030" w:rsidTr="00230030">
        <w:trPr>
          <w:trHeight w:val="510"/>
        </w:trPr>
        <w:tc>
          <w:tcPr>
            <w:tcW w:w="4213" w:type="dxa"/>
            <w:hideMark/>
          </w:tcPr>
          <w:p w:rsidR="00230030" w:rsidRPr="00230030" w:rsidRDefault="00B64B0A">
            <w:pPr>
              <w:rPr>
                <w:rFonts w:ascii="Times New Roman" w:hAnsi="Times New Roman" w:cs="Times New Roman"/>
                <w:u w:val="single"/>
              </w:rPr>
            </w:pPr>
            <w:hyperlink r:id="rId6" w:anchor="gid=589654536" w:history="1">
              <w:r w:rsidR="00230030" w:rsidRPr="00230030">
                <w:rPr>
                  <w:rStyle w:val="a3"/>
                  <w:rFonts w:ascii="Times New Roman" w:hAnsi="Times New Roman" w:cs="Times New Roman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132" w:type="dxa"/>
            <w:hideMark/>
          </w:tcPr>
          <w:p w:rsidR="00230030" w:rsidRPr="00230030" w:rsidRDefault="00230030">
            <w:pPr>
              <w:rPr>
                <w:rFonts w:ascii="Times New Roman" w:hAnsi="Times New Roman" w:cs="Times New Roman"/>
              </w:rPr>
            </w:pPr>
            <w:r w:rsidRPr="00230030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230030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230030">
              <w:rPr>
                <w:rFonts w:ascii="Times New Roman" w:hAnsi="Times New Roman" w:cs="Times New Roman"/>
              </w:rPr>
              <w:t xml:space="preserve"> 5219</w:t>
            </w:r>
          </w:p>
        </w:tc>
      </w:tr>
    </w:tbl>
    <w:p w:rsidR="00BC0C1D" w:rsidRPr="00230030" w:rsidRDefault="00BC0C1D">
      <w:pPr>
        <w:rPr>
          <w:rFonts w:ascii="Times New Roman" w:hAnsi="Times New Roman" w:cs="Times New Roman"/>
        </w:rPr>
      </w:pPr>
    </w:p>
    <w:sectPr w:rsidR="00BC0C1D" w:rsidRPr="0023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B"/>
    <w:rsid w:val="00230030"/>
    <w:rsid w:val="00B64B0A"/>
    <w:rsid w:val="00BC0C1D"/>
    <w:rsid w:val="00E76AD9"/>
    <w:rsid w:val="00F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E9BC"/>
  <w15:chartTrackingRefBased/>
  <w15:docId w15:val="{574B24B9-3AD1-4BBE-BEFA-D2C869C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030"/>
    <w:rPr>
      <w:color w:val="1155CC"/>
      <w:u w:val="single"/>
    </w:rPr>
  </w:style>
  <w:style w:type="table" w:styleId="a4">
    <w:name w:val="Table Grid"/>
    <w:basedOn w:val="a1"/>
    <w:uiPriority w:val="39"/>
    <w:rsid w:val="0023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WJPsrp6vGjyZS-uNHkxLF6r0tTUBCDDD858yHPvk6M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2021-04-29T13:28:00Z</dcterms:created>
  <dcterms:modified xsi:type="dcterms:W3CDTF">2021-04-30T05:57:00Z</dcterms:modified>
</cp:coreProperties>
</file>