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4D" w:rsidRPr="001F7A4D" w:rsidRDefault="008C63BF" w:rsidP="001F7A4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1F7A4D" w:rsidRPr="001F7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инагорода </w:t>
      </w:r>
      <w:r w:rsidR="001F7A4D">
        <w:rPr>
          <w:rFonts w:ascii="Times New Roman" w:hAnsi="Times New Roman" w:cs="Times New Roman"/>
          <w:b/>
          <w:sz w:val="32"/>
          <w:szCs w:val="32"/>
          <w:lang w:val="uk-UA"/>
        </w:rPr>
        <w:t>оператора</w:t>
      </w:r>
    </w:p>
    <w:p w:rsidR="001F7A4D" w:rsidRDefault="001F7A4D">
      <w:pPr>
        <w:rPr>
          <w:rFonts w:ascii="Times New Roman" w:hAnsi="Times New Roman" w:cs="Times New Roman"/>
          <w:lang w:val="uk-UA"/>
        </w:rPr>
      </w:pPr>
    </w:p>
    <w:p w:rsidR="004A204D" w:rsidRDefault="004A204D">
      <w:pPr>
        <w:rPr>
          <w:rFonts w:ascii="Times New Roman" w:hAnsi="Times New Roman" w:cs="Times New Roman"/>
          <w:lang w:val="uk-UA"/>
        </w:rPr>
      </w:pPr>
    </w:p>
    <w:p w:rsidR="004A204D" w:rsidRDefault="004A204D">
      <w:pPr>
        <w:rPr>
          <w:rFonts w:ascii="Times New Roman" w:hAnsi="Times New Roman" w:cs="Times New Roman"/>
          <w:lang w:val="uk-UA"/>
        </w:rPr>
      </w:pPr>
    </w:p>
    <w:p w:rsidR="001F7A4D" w:rsidRDefault="001F7A4D">
      <w:pPr>
        <w:rPr>
          <w:rFonts w:ascii="Times New Roman" w:hAnsi="Times New Roman" w:cs="Times New Roman"/>
          <w:lang w:val="uk-UA"/>
        </w:rPr>
      </w:pPr>
    </w:p>
    <w:p w:rsidR="008C63BF" w:rsidRDefault="008C63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3BF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204D">
        <w:rPr>
          <w:rFonts w:ascii="Times New Roman" w:hAnsi="Times New Roman" w:cs="Times New Roman"/>
          <w:b/>
          <w:sz w:val="28"/>
          <w:szCs w:val="28"/>
          <w:lang w:val="uk-UA"/>
        </w:rPr>
        <w:t>Розмір винагороди оператора</w:t>
      </w:r>
      <w:r w:rsidRPr="001F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3BF">
        <w:rPr>
          <w:rFonts w:ascii="Times New Roman" w:hAnsi="Times New Roman" w:cs="Times New Roman"/>
          <w:sz w:val="28"/>
          <w:szCs w:val="28"/>
          <w:lang w:val="uk-UA"/>
        </w:rPr>
        <w:t xml:space="preserve">регулюється </w:t>
      </w:r>
      <w:r w:rsidRPr="001F7A4D">
        <w:rPr>
          <w:rFonts w:ascii="Times New Roman" w:hAnsi="Times New Roman" w:cs="Times New Roman"/>
          <w:sz w:val="28"/>
          <w:szCs w:val="28"/>
          <w:lang w:val="uk-UA"/>
        </w:rPr>
        <w:t>згідно з пункт</w:t>
      </w:r>
      <w:r w:rsidR="008C63B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F7A4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8C63BF">
        <w:rPr>
          <w:rFonts w:ascii="Times New Roman" w:hAnsi="Times New Roman" w:cs="Times New Roman"/>
          <w:sz w:val="28"/>
          <w:szCs w:val="28"/>
          <w:lang w:val="uk-UA"/>
        </w:rPr>
        <w:t>8-41</w:t>
      </w:r>
      <w:r w:rsidRPr="001F7A4D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від 02.10.2019 №865 «Про питання функціонування електронної торгової системи з продажу майна боржників у справах про банкрутство» </w:t>
      </w:r>
      <w:r w:rsidR="008C63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63BF" w:rsidRDefault="008C63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через авторизований електронний майданчик такого оператора.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n200"/>
      <w:bookmarkEnd w:id="0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Оператор вираховує винагороду у розмірі, встановленому </w:t>
      </w:r>
      <w:hyperlink r:id="rId4" w:anchor="n205" w:history="1">
        <w:r w:rsidRPr="008C63BF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lang w:eastAsia="ru-RU"/>
          </w:rPr>
          <w:t>пунктом 39</w:t>
        </w:r>
      </w:hyperlink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цього Порядку, з гарантійного внеску, внесеного переможцем аукціону, після оприлюднення у системі відомостей про результати аукціону.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n201"/>
      <w:bookmarkEnd w:id="1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Винагорода підлягає вирахуванню з гарантійного внеску також у разі, коли: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n202"/>
      <w:bookmarkEnd w:id="2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аукціон закінчився без визначення переможця, крім випадків виявлення недоліків майна, не зазначених в оголошенні про проведення аукціону;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n203"/>
      <w:bookmarkEnd w:id="3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в строки, визначені </w:t>
      </w:r>
      <w:hyperlink r:id="rId5" w:tgtFrame="_blank" w:history="1">
        <w:r w:rsidRPr="008C63B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Кодексом</w:t>
        </w:r>
      </w:hyperlink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 цим Порядком).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n204"/>
      <w:bookmarkEnd w:id="4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Залишок гарантійного внеску (після вирахування винагороди оператора) перераховується оператором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n205"/>
      <w:bookmarkEnd w:id="5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Розмір винагороди оператора становить: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206"/>
      <w:bookmarkEnd w:id="6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n207"/>
      <w:bookmarkEnd w:id="7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n208"/>
      <w:bookmarkEnd w:id="8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n209"/>
      <w:bookmarkEnd w:id="9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10"/>
      <w:bookmarkEnd w:id="10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n211"/>
      <w:bookmarkEnd w:id="11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Якщо суми гарантійного внеску, сплаченого переможцем аукціону на рахунок оператора, недостатньо для сплати винагороди оператора, переможець аукціону протягом трьох робочих днів з дня закінчення аукціону додатково сплачує оператору суму коштів, якої не вистачає для сплати винагороди оператору в повному обсязі, на рахунок, зазначений в протоколі про проведення аукціону.</w:t>
      </w:r>
    </w:p>
    <w:p w:rsidR="008C63BF" w:rsidRPr="008C63BF" w:rsidRDefault="008C63BF" w:rsidP="008C63BF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n212"/>
      <w:bookmarkEnd w:id="12"/>
      <w:r w:rsidRPr="008C6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У разі визнання судом недійсним правочину, вчиненого з порушенням порядку підготовки та проведення аукціону, винагорода, вирахувана з гарантійного внеску переможця аукціону, повертається оператором та адміністратором протягом п’яти робочих днів з дня прийняття судом відповідного рішення.</w:t>
      </w:r>
      <w:bookmarkStart w:id="13" w:name="_GoBack"/>
      <w:bookmarkEnd w:id="13"/>
    </w:p>
    <w:p w:rsidR="001F7A4D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7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7A4D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A4D" w:rsidRDefault="001F7A4D" w:rsidP="001F7A4D">
      <w:pPr>
        <w:pStyle w:val="rvps2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1F7A4D" w:rsidRPr="001F7A4D" w:rsidRDefault="001F7A4D" w:rsidP="001F7A4D">
      <w:pPr>
        <w:pStyle w:val="rvps2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1F7A4D" w:rsidRPr="001F7A4D" w:rsidRDefault="001F7A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A4D" w:rsidRPr="001F7A4D" w:rsidRDefault="001F7A4D" w:rsidP="001F7A4D"/>
    <w:p w:rsidR="001F7A4D" w:rsidRPr="001F7A4D" w:rsidRDefault="001F7A4D" w:rsidP="001F7A4D"/>
    <w:p w:rsidR="001F7A4D" w:rsidRPr="001F7A4D" w:rsidRDefault="001F7A4D" w:rsidP="001F7A4D"/>
    <w:p w:rsidR="001F7A4D" w:rsidRPr="001F7A4D" w:rsidRDefault="001F7A4D" w:rsidP="001F7A4D"/>
    <w:p w:rsidR="001F7A4D" w:rsidRDefault="001F7A4D" w:rsidP="001F7A4D"/>
    <w:p w:rsidR="001F7A4D" w:rsidRPr="001F7A4D" w:rsidRDefault="001F7A4D" w:rsidP="001F7A4D"/>
    <w:sectPr w:rsidR="001F7A4D" w:rsidRPr="001F7A4D" w:rsidSect="00E657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4D"/>
    <w:rsid w:val="001F7A4D"/>
    <w:rsid w:val="004A204D"/>
    <w:rsid w:val="008B04D7"/>
    <w:rsid w:val="008C63BF"/>
    <w:rsid w:val="00E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417920"/>
  <w15:chartTrackingRefBased/>
  <w15:docId w15:val="{8CBAAE23-8771-0648-A7C0-6DD5CC6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F7A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C63BF"/>
  </w:style>
  <w:style w:type="character" w:styleId="a3">
    <w:name w:val="Hyperlink"/>
    <w:basedOn w:val="a0"/>
    <w:uiPriority w:val="99"/>
    <w:semiHidden/>
    <w:unhideWhenUsed/>
    <w:rsid w:val="008C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ru/2597-19" TargetMode="External"/><Relationship Id="rId4" Type="http://schemas.openxmlformats.org/officeDocument/2006/relationships/hyperlink" Target="https://zakon.rada.gov.ua/laws/show/ru/865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sergeiruv33@gmail.com</dc:creator>
  <cp:keywords/>
  <dc:description/>
  <cp:lastModifiedBy>sergeiruv33@gmail.com</cp:lastModifiedBy>
  <cp:revision>2</cp:revision>
  <dcterms:created xsi:type="dcterms:W3CDTF">2020-08-13T11:09:00Z</dcterms:created>
  <dcterms:modified xsi:type="dcterms:W3CDTF">2020-08-13T11:09:00Z</dcterms:modified>
</cp:coreProperties>
</file>