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4C" w:rsidRPr="00132E10" w:rsidRDefault="0060634C" w:rsidP="0060634C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32E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132E10" w:rsidRPr="00132E10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</w:p>
    <w:p w:rsidR="0060634C" w:rsidRPr="004F7859" w:rsidRDefault="0060634C" w:rsidP="009A6A67">
      <w:pPr>
        <w:tabs>
          <w:tab w:val="left" w:pos="7020"/>
        </w:tabs>
        <w:ind w:left="6237" w:right="-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24.06.2020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№ </w:t>
      </w:r>
      <w:r w:rsidR="00183664">
        <w:rPr>
          <w:rFonts w:ascii="Times New Roman" w:hAnsi="Times New Roman" w:cs="Times New Roman"/>
          <w:bCs/>
          <w:sz w:val="24"/>
          <w:szCs w:val="24"/>
          <w:lang w:val="uk-UA"/>
        </w:rPr>
        <w:t>2160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/20</w:t>
      </w:r>
      <w:r w:rsidRPr="006244F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F7859">
        <w:rPr>
          <w:rFonts w:ascii="Times New Roman" w:hAnsi="Times New Roman" w:cs="Times New Roman"/>
          <w:bCs/>
          <w:sz w:val="24"/>
          <w:szCs w:val="24"/>
          <w:lang w:val="uk-UA"/>
        </w:rPr>
        <w:t>«Про внесення змін до деяких рішень Харківської міської ради щодо затвердження переліку об’єктів, що підлягають приватизації»</w:t>
      </w: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Pr="00274CFC" w:rsidRDefault="00853680" w:rsidP="00030BC3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bookmarkStart w:id="0" w:name="_Hlk44932057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нежитлов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приміщен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ь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7547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першого поверху </w:t>
      </w:r>
      <w:r w:rsidR="00FA5A4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житлов</w:t>
      </w:r>
      <w:r w:rsidR="007547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7547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04B7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</w:t>
      </w:r>
      <w:r w:rsidR="00BA3F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195A1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FA5A4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5975B8" w:rsidRPr="005975B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загальною площею </w:t>
      </w:r>
      <w:r w:rsidR="00FA5A4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109,0</w:t>
      </w:r>
      <w:r w:rsidR="000331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84523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</w:t>
      </w:r>
      <w:r w:rsidR="00423C0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60634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A5A4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Конторська</w:t>
      </w:r>
      <w:r w:rsidR="007547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 1</w:t>
      </w:r>
    </w:p>
    <w:tbl>
      <w:tblPr>
        <w:tblW w:w="155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6"/>
        <w:gridCol w:w="10388"/>
      </w:tblGrid>
      <w:tr w:rsidR="00853680" w:rsidRPr="00492382" w:rsidTr="00DD3004">
        <w:trPr>
          <w:cantSplit/>
        </w:trPr>
        <w:tc>
          <w:tcPr>
            <w:tcW w:w="5176" w:type="dxa"/>
          </w:tcPr>
          <w:bookmarkEnd w:id="0"/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10388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DD3004">
        <w:trPr>
          <w:cantSplit/>
        </w:trPr>
        <w:tc>
          <w:tcPr>
            <w:tcW w:w="5176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10388" w:type="dxa"/>
          </w:tcPr>
          <w:p w:rsidR="00C67755" w:rsidRPr="00DD3004" w:rsidRDefault="00BB66AD" w:rsidP="00BA3F80">
            <w:pPr>
              <w:pStyle w:val="a8"/>
              <w:ind w:firstLine="567"/>
              <w:rPr>
                <w:sz w:val="26"/>
                <w:szCs w:val="26"/>
              </w:rPr>
            </w:pPr>
            <w:r w:rsidRPr="00DD3004">
              <w:rPr>
                <w:sz w:val="26"/>
                <w:szCs w:val="26"/>
              </w:rPr>
              <w:t>Нежитлові</w:t>
            </w:r>
            <w:r w:rsidRPr="00DD3004">
              <w:rPr>
                <w:bCs/>
                <w:color w:val="000000"/>
                <w:sz w:val="26"/>
                <w:szCs w:val="26"/>
              </w:rPr>
              <w:t xml:space="preserve"> приміщення 1-го поверху №1-:-13 загальною площею 109,0 кв.м в житловому будинку літ. «А-2» </w:t>
            </w:r>
            <w:r w:rsidR="00033111" w:rsidRPr="00DD3004">
              <w:rPr>
                <w:sz w:val="26"/>
                <w:szCs w:val="26"/>
              </w:rPr>
              <w:t>знаход</w:t>
            </w:r>
            <w:r w:rsidR="00BA3F80" w:rsidRPr="00DD3004">
              <w:rPr>
                <w:sz w:val="26"/>
                <w:szCs w:val="26"/>
              </w:rPr>
              <w:t>я</w:t>
            </w:r>
            <w:r w:rsidR="00033111" w:rsidRPr="00DD3004">
              <w:rPr>
                <w:sz w:val="26"/>
                <w:szCs w:val="26"/>
              </w:rPr>
              <w:t xml:space="preserve">ться </w:t>
            </w:r>
            <w:r w:rsidR="00B56FD7" w:rsidRPr="00DD3004">
              <w:rPr>
                <w:sz w:val="26"/>
                <w:szCs w:val="26"/>
              </w:rPr>
              <w:t>у</w:t>
            </w:r>
            <w:r w:rsidR="00AF5CAD" w:rsidRPr="00DD3004">
              <w:rPr>
                <w:sz w:val="26"/>
                <w:szCs w:val="26"/>
              </w:rPr>
              <w:t xml:space="preserve"> </w:t>
            </w:r>
            <w:r w:rsidR="00B56FD7" w:rsidRPr="00DD3004">
              <w:rPr>
                <w:sz w:val="26"/>
                <w:szCs w:val="26"/>
              </w:rPr>
              <w:t xml:space="preserve">Новобаварському </w:t>
            </w:r>
            <w:r w:rsidR="00AF5CAD" w:rsidRPr="00DD3004">
              <w:rPr>
                <w:sz w:val="26"/>
                <w:szCs w:val="26"/>
              </w:rPr>
              <w:t xml:space="preserve">районі міста за адресою: </w:t>
            </w:r>
            <w:r w:rsidR="00442F9B" w:rsidRPr="00DD3004">
              <w:rPr>
                <w:sz w:val="26"/>
                <w:szCs w:val="26"/>
              </w:rPr>
              <w:t xml:space="preserve">м. Харків, </w:t>
            </w:r>
            <w:r w:rsidR="00DC4091" w:rsidRPr="00DD3004">
              <w:rPr>
                <w:sz w:val="26"/>
                <w:szCs w:val="26"/>
              </w:rPr>
              <w:t xml:space="preserve">вулиця </w:t>
            </w:r>
            <w:r w:rsidR="00B56FD7" w:rsidRPr="00DD3004">
              <w:rPr>
                <w:sz w:val="26"/>
                <w:szCs w:val="26"/>
              </w:rPr>
              <w:t>Конторська</w:t>
            </w:r>
            <w:r w:rsidR="00DC4091" w:rsidRPr="00DD3004">
              <w:rPr>
                <w:sz w:val="26"/>
                <w:szCs w:val="26"/>
              </w:rPr>
              <w:t>, будинок 1.</w:t>
            </w:r>
            <w:r w:rsidR="00BA3F80" w:rsidRPr="00DD3004">
              <w:rPr>
                <w:sz w:val="26"/>
                <w:szCs w:val="26"/>
              </w:rPr>
              <w:t xml:space="preserve"> </w:t>
            </w:r>
            <w:r w:rsidR="008C3A91" w:rsidRPr="00DD3004">
              <w:rPr>
                <w:sz w:val="26"/>
                <w:szCs w:val="26"/>
              </w:rPr>
              <w:t xml:space="preserve">Рік побудови – </w:t>
            </w:r>
            <w:r w:rsidR="003B68F8" w:rsidRPr="00DD3004">
              <w:rPr>
                <w:sz w:val="26"/>
                <w:szCs w:val="26"/>
              </w:rPr>
              <w:t>1917.</w:t>
            </w:r>
            <w:r w:rsidR="008C3A91" w:rsidRPr="00DD3004">
              <w:rPr>
                <w:sz w:val="26"/>
                <w:szCs w:val="26"/>
              </w:rPr>
              <w:t xml:space="preserve"> </w:t>
            </w:r>
          </w:p>
          <w:p w:rsidR="00A227D2" w:rsidRPr="00DD3004" w:rsidRDefault="00D64EF5" w:rsidP="00A227D2">
            <w:pPr>
              <w:pStyle w:val="a8"/>
              <w:ind w:firstLine="567"/>
              <w:rPr>
                <w:sz w:val="26"/>
                <w:szCs w:val="26"/>
              </w:rPr>
            </w:pPr>
            <w:r w:rsidRPr="00DD3004">
              <w:rPr>
                <w:sz w:val="26"/>
                <w:szCs w:val="26"/>
              </w:rPr>
              <w:t>В</w:t>
            </w:r>
            <w:r w:rsidR="00552E04" w:rsidRPr="00DD3004">
              <w:rPr>
                <w:sz w:val="26"/>
                <w:szCs w:val="26"/>
              </w:rPr>
              <w:t xml:space="preserve">хід </w:t>
            </w:r>
            <w:r w:rsidR="00C67755" w:rsidRPr="00DD3004">
              <w:rPr>
                <w:sz w:val="26"/>
                <w:szCs w:val="26"/>
              </w:rPr>
              <w:t>до</w:t>
            </w:r>
            <w:r w:rsidR="00AA13EE" w:rsidRPr="00DD3004">
              <w:rPr>
                <w:sz w:val="26"/>
                <w:szCs w:val="26"/>
              </w:rPr>
              <w:t xml:space="preserve"> приміщен</w:t>
            </w:r>
            <w:r w:rsidR="00C67755" w:rsidRPr="00DD3004">
              <w:rPr>
                <w:sz w:val="26"/>
                <w:szCs w:val="26"/>
              </w:rPr>
              <w:t>ь</w:t>
            </w:r>
            <w:r w:rsidR="00AA13EE" w:rsidRPr="00DD3004">
              <w:rPr>
                <w:sz w:val="26"/>
                <w:szCs w:val="26"/>
              </w:rPr>
              <w:t xml:space="preserve"> </w:t>
            </w:r>
            <w:r w:rsidR="00F048E7" w:rsidRPr="00DD3004">
              <w:rPr>
                <w:sz w:val="26"/>
                <w:szCs w:val="26"/>
              </w:rPr>
              <w:t>окремий</w:t>
            </w:r>
            <w:r w:rsidR="00C15DE5" w:rsidRPr="00DD3004">
              <w:rPr>
                <w:sz w:val="26"/>
                <w:szCs w:val="26"/>
              </w:rPr>
              <w:t>. Планування приміщень</w:t>
            </w:r>
            <w:r w:rsidR="00F618D3" w:rsidRPr="00DD3004">
              <w:rPr>
                <w:sz w:val="26"/>
                <w:szCs w:val="26"/>
              </w:rPr>
              <w:t xml:space="preserve"> </w:t>
            </w:r>
            <w:r w:rsidR="00552E04" w:rsidRPr="00DD3004">
              <w:rPr>
                <w:sz w:val="26"/>
                <w:szCs w:val="26"/>
              </w:rPr>
              <w:t>відповідає технічному плану.</w:t>
            </w:r>
            <w:r w:rsidR="00F618D3" w:rsidRPr="00DD3004">
              <w:rPr>
                <w:sz w:val="26"/>
                <w:szCs w:val="26"/>
              </w:rPr>
              <w:t xml:space="preserve"> </w:t>
            </w:r>
            <w:bookmarkStart w:id="1" w:name="_Hlk6389308"/>
            <w:r w:rsidR="003B68F8" w:rsidRPr="00DD3004">
              <w:rPr>
                <w:sz w:val="26"/>
                <w:szCs w:val="26"/>
              </w:rPr>
              <w:t>Фундамент– цегляний, перекриття– дерев’яні, підлога– бетонна, с</w:t>
            </w:r>
            <w:r w:rsidR="00A227D2" w:rsidRPr="00DD3004">
              <w:rPr>
                <w:sz w:val="26"/>
                <w:szCs w:val="26"/>
              </w:rPr>
              <w:t xml:space="preserve">тіни – цегляні, </w:t>
            </w:r>
            <w:r w:rsidR="003B68F8" w:rsidRPr="00DD3004">
              <w:rPr>
                <w:sz w:val="26"/>
                <w:szCs w:val="26"/>
              </w:rPr>
              <w:t>вікна – пластикові, двері металеві.</w:t>
            </w:r>
          </w:p>
          <w:p w:rsidR="00F618D3" w:rsidRPr="00DD3004" w:rsidRDefault="00F048E7" w:rsidP="00C15DE5">
            <w:pPr>
              <w:pStyle w:val="a8"/>
              <w:ind w:firstLine="567"/>
              <w:rPr>
                <w:sz w:val="26"/>
                <w:szCs w:val="26"/>
              </w:rPr>
            </w:pPr>
            <w:r w:rsidRPr="00DD3004">
              <w:rPr>
                <w:sz w:val="26"/>
                <w:szCs w:val="26"/>
              </w:rPr>
              <w:t>В</w:t>
            </w:r>
            <w:r w:rsidR="00700E8A" w:rsidRPr="00DD3004">
              <w:rPr>
                <w:sz w:val="26"/>
                <w:szCs w:val="26"/>
              </w:rPr>
              <w:t>одопостачання, водовідведення</w:t>
            </w:r>
            <w:r w:rsidR="000D6E16" w:rsidRPr="00DD3004">
              <w:rPr>
                <w:sz w:val="26"/>
                <w:szCs w:val="26"/>
              </w:rPr>
              <w:t xml:space="preserve"> та</w:t>
            </w:r>
            <w:r w:rsidR="00700E8A" w:rsidRPr="00DD3004">
              <w:rPr>
                <w:sz w:val="26"/>
                <w:szCs w:val="26"/>
              </w:rPr>
              <w:t xml:space="preserve"> </w:t>
            </w:r>
            <w:r w:rsidR="003A7C68" w:rsidRPr="00DD3004">
              <w:rPr>
                <w:sz w:val="26"/>
                <w:szCs w:val="26"/>
              </w:rPr>
              <w:t xml:space="preserve">опалення </w:t>
            </w:r>
            <w:r w:rsidRPr="00DD3004">
              <w:rPr>
                <w:sz w:val="26"/>
                <w:szCs w:val="26"/>
              </w:rPr>
              <w:t>є</w:t>
            </w:r>
            <w:r w:rsidR="002C47AA" w:rsidRPr="00DD3004">
              <w:rPr>
                <w:sz w:val="26"/>
                <w:szCs w:val="26"/>
              </w:rPr>
              <w:t xml:space="preserve">, знаходяться </w:t>
            </w:r>
            <w:r w:rsidR="00700E8A" w:rsidRPr="00DD3004">
              <w:rPr>
                <w:sz w:val="26"/>
                <w:szCs w:val="26"/>
              </w:rPr>
              <w:t>в</w:t>
            </w:r>
            <w:r w:rsidR="00AF5CAD" w:rsidRPr="00DD3004">
              <w:rPr>
                <w:sz w:val="26"/>
                <w:szCs w:val="26"/>
              </w:rPr>
              <w:t xml:space="preserve"> </w:t>
            </w:r>
            <w:r w:rsidR="002C47AA" w:rsidRPr="00DD3004">
              <w:rPr>
                <w:sz w:val="26"/>
                <w:szCs w:val="26"/>
              </w:rPr>
              <w:t>не</w:t>
            </w:r>
            <w:r w:rsidR="00AF5CAD" w:rsidRPr="00DD3004">
              <w:rPr>
                <w:sz w:val="26"/>
                <w:szCs w:val="26"/>
              </w:rPr>
              <w:t xml:space="preserve">робочому стані. </w:t>
            </w:r>
            <w:r w:rsidR="00A227D2" w:rsidRPr="00DD3004">
              <w:rPr>
                <w:sz w:val="26"/>
                <w:szCs w:val="26"/>
              </w:rPr>
              <w:t xml:space="preserve">Електропостачання </w:t>
            </w:r>
            <w:r w:rsidR="002C47AA" w:rsidRPr="00DD3004">
              <w:rPr>
                <w:sz w:val="26"/>
                <w:szCs w:val="26"/>
              </w:rPr>
              <w:t xml:space="preserve">є, </w:t>
            </w:r>
            <w:r w:rsidRPr="00DD3004">
              <w:rPr>
                <w:sz w:val="26"/>
                <w:szCs w:val="26"/>
              </w:rPr>
              <w:t>знаходиться в неробочому стані.</w:t>
            </w:r>
          </w:p>
          <w:p w:rsidR="002C47AA" w:rsidRPr="00DD3004" w:rsidRDefault="002C47AA" w:rsidP="00C15DE5">
            <w:pPr>
              <w:pStyle w:val="a8"/>
              <w:ind w:firstLine="567"/>
              <w:rPr>
                <w:sz w:val="26"/>
                <w:szCs w:val="26"/>
              </w:rPr>
            </w:pPr>
            <w:r w:rsidRPr="00DD3004">
              <w:rPr>
                <w:sz w:val="26"/>
                <w:szCs w:val="26"/>
              </w:rPr>
              <w:t>Окремі особові рахунки на постачання комунальних послуг не відкриті.</w:t>
            </w:r>
          </w:p>
          <w:p w:rsidR="00A227D2" w:rsidRPr="00DD3004" w:rsidRDefault="00A227D2" w:rsidP="00A227D2">
            <w:pPr>
              <w:pStyle w:val="a8"/>
              <w:ind w:firstLine="567"/>
              <w:rPr>
                <w:sz w:val="26"/>
                <w:szCs w:val="26"/>
                <w:highlight w:val="green"/>
              </w:rPr>
            </w:pPr>
            <w:r w:rsidRPr="00DD3004">
              <w:rPr>
                <w:sz w:val="26"/>
                <w:szCs w:val="26"/>
              </w:rPr>
              <w:t>Приміщення потребують проведення ремонтних робіт.</w:t>
            </w:r>
          </w:p>
          <w:p w:rsidR="00853680" w:rsidRPr="00740129" w:rsidRDefault="000236B2" w:rsidP="00C15DE5">
            <w:pPr>
              <w:pStyle w:val="a8"/>
              <w:ind w:firstLine="567"/>
            </w:pPr>
            <w:bookmarkStart w:id="2" w:name="_Hlk6389391"/>
            <w:bookmarkEnd w:id="1"/>
            <w:r w:rsidRPr="00DD3004">
              <w:rPr>
                <w:sz w:val="26"/>
                <w:szCs w:val="26"/>
              </w:rPr>
              <w:t xml:space="preserve">Право власності зареєстровано. Реєстраційний номер об’єкта нерухомого майна </w:t>
            </w:r>
            <w:r w:rsidR="00ED6D63" w:rsidRPr="00DD3004">
              <w:rPr>
                <w:sz w:val="26"/>
                <w:szCs w:val="26"/>
              </w:rPr>
              <w:t>666368063101</w:t>
            </w:r>
            <w:r w:rsidR="00853680" w:rsidRPr="00DD3004">
              <w:rPr>
                <w:sz w:val="26"/>
                <w:szCs w:val="26"/>
              </w:rPr>
              <w:t>.</w:t>
            </w:r>
            <w:bookmarkEnd w:id="2"/>
          </w:p>
        </w:tc>
      </w:tr>
      <w:tr w:rsidR="00853680" w:rsidRPr="00E521B2" w:rsidTr="00DD3004">
        <w:trPr>
          <w:cantSplit/>
        </w:trPr>
        <w:tc>
          <w:tcPr>
            <w:tcW w:w="5176" w:type="dxa"/>
          </w:tcPr>
          <w:p w:rsidR="00853680" w:rsidRPr="00DD3004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10388" w:type="dxa"/>
          </w:tcPr>
          <w:p w:rsidR="00853680" w:rsidRPr="00DD3004" w:rsidRDefault="007046E8" w:rsidP="00EC3F0B">
            <w:pPr>
              <w:pStyle w:val="a8"/>
              <w:ind w:firstLine="567"/>
              <w:rPr>
                <w:color w:val="000000"/>
                <w:sz w:val="26"/>
                <w:szCs w:val="26"/>
              </w:rPr>
            </w:pPr>
            <w:bookmarkStart w:id="3" w:name="_Hlk6389361"/>
            <w:r w:rsidRPr="00DD3004">
              <w:rPr>
                <w:sz w:val="26"/>
                <w:szCs w:val="26"/>
              </w:rPr>
              <w:t>Нежитлов</w:t>
            </w:r>
            <w:r w:rsidR="00C9278B" w:rsidRPr="00DD3004">
              <w:rPr>
                <w:sz w:val="26"/>
                <w:szCs w:val="26"/>
              </w:rPr>
              <w:t>і</w:t>
            </w:r>
            <w:r w:rsidRPr="00DD3004">
              <w:rPr>
                <w:sz w:val="26"/>
                <w:szCs w:val="26"/>
              </w:rPr>
              <w:t xml:space="preserve"> приміщення </w:t>
            </w:r>
            <w:r w:rsidR="000446AE" w:rsidRPr="00DD3004">
              <w:rPr>
                <w:color w:val="000000"/>
                <w:sz w:val="26"/>
                <w:szCs w:val="26"/>
              </w:rPr>
              <w:t>знаход</w:t>
            </w:r>
            <w:r w:rsidR="00701152">
              <w:rPr>
                <w:color w:val="000000"/>
                <w:sz w:val="26"/>
                <w:szCs w:val="26"/>
              </w:rPr>
              <w:t>я</w:t>
            </w:r>
            <w:bookmarkStart w:id="4" w:name="_GoBack"/>
            <w:bookmarkEnd w:id="4"/>
            <w:r w:rsidR="00853680" w:rsidRPr="00DD3004">
              <w:rPr>
                <w:color w:val="000000"/>
                <w:sz w:val="26"/>
                <w:szCs w:val="26"/>
              </w:rPr>
              <w:t>ться в оренді</w:t>
            </w:r>
            <w:r w:rsidR="00853680" w:rsidRPr="00DD3004">
              <w:rPr>
                <w:sz w:val="26"/>
                <w:szCs w:val="26"/>
              </w:rPr>
              <w:t xml:space="preserve"> </w:t>
            </w:r>
            <w:r w:rsidR="00AF5CAD" w:rsidRPr="00DD3004">
              <w:rPr>
                <w:sz w:val="26"/>
                <w:szCs w:val="26"/>
              </w:rPr>
              <w:t xml:space="preserve">у </w:t>
            </w:r>
            <w:r w:rsidR="00DC4091" w:rsidRPr="00DD3004">
              <w:rPr>
                <w:sz w:val="26"/>
                <w:szCs w:val="26"/>
              </w:rPr>
              <w:t xml:space="preserve">ФО-П </w:t>
            </w:r>
            <w:proofErr w:type="spellStart"/>
            <w:r w:rsidR="00AA54C1" w:rsidRPr="00DD3004">
              <w:rPr>
                <w:sz w:val="26"/>
                <w:szCs w:val="26"/>
              </w:rPr>
              <w:t>Ринтовт</w:t>
            </w:r>
            <w:proofErr w:type="spellEnd"/>
            <w:r w:rsidR="00AA54C1" w:rsidRPr="00DD3004">
              <w:rPr>
                <w:sz w:val="26"/>
                <w:szCs w:val="26"/>
              </w:rPr>
              <w:t xml:space="preserve"> Ю.Л. </w:t>
            </w:r>
            <w:r w:rsidR="00853680" w:rsidRPr="00DD3004">
              <w:rPr>
                <w:sz w:val="26"/>
                <w:szCs w:val="26"/>
              </w:rPr>
              <w:t xml:space="preserve">Розмір місячної орендної плати складав </w:t>
            </w:r>
            <w:bookmarkStart w:id="5" w:name="_Hlk11142392"/>
            <w:r w:rsidR="00853680" w:rsidRPr="00DD3004">
              <w:rPr>
                <w:sz w:val="26"/>
                <w:szCs w:val="26"/>
              </w:rPr>
              <w:t xml:space="preserve">у </w:t>
            </w:r>
            <w:r w:rsidR="00B07538" w:rsidRPr="00DD3004">
              <w:rPr>
                <w:sz w:val="26"/>
                <w:szCs w:val="26"/>
              </w:rPr>
              <w:t>травні</w:t>
            </w:r>
            <w:r w:rsidR="00853680" w:rsidRPr="00DD3004">
              <w:rPr>
                <w:sz w:val="26"/>
                <w:szCs w:val="26"/>
              </w:rPr>
              <w:t xml:space="preserve"> 20</w:t>
            </w:r>
            <w:r w:rsidR="00186EC8" w:rsidRPr="00DD3004">
              <w:rPr>
                <w:sz w:val="26"/>
                <w:szCs w:val="26"/>
              </w:rPr>
              <w:t>20</w:t>
            </w:r>
            <w:r w:rsidR="000446AE" w:rsidRPr="00DD3004">
              <w:rPr>
                <w:sz w:val="26"/>
                <w:szCs w:val="26"/>
              </w:rPr>
              <w:t xml:space="preserve"> </w:t>
            </w:r>
            <w:r w:rsidR="00AF5CAD" w:rsidRPr="00DD3004">
              <w:rPr>
                <w:sz w:val="26"/>
                <w:szCs w:val="26"/>
              </w:rPr>
              <w:t>–</w:t>
            </w:r>
            <w:r w:rsidR="000446AE" w:rsidRPr="00DD3004">
              <w:rPr>
                <w:sz w:val="26"/>
                <w:szCs w:val="26"/>
              </w:rPr>
              <w:t xml:space="preserve"> </w:t>
            </w:r>
            <w:r w:rsidR="00E521B2" w:rsidRPr="00DD3004">
              <w:rPr>
                <w:sz w:val="26"/>
                <w:szCs w:val="26"/>
              </w:rPr>
              <w:t>1992,67</w:t>
            </w:r>
            <w:r w:rsidR="004E4CD5" w:rsidRPr="00DD3004">
              <w:rPr>
                <w:sz w:val="26"/>
                <w:szCs w:val="26"/>
              </w:rPr>
              <w:t xml:space="preserve"> </w:t>
            </w:r>
            <w:bookmarkEnd w:id="5"/>
            <w:r w:rsidR="00EC7CBA" w:rsidRPr="00DD3004">
              <w:rPr>
                <w:sz w:val="26"/>
                <w:szCs w:val="26"/>
              </w:rPr>
              <w:t>грн</w:t>
            </w:r>
            <w:r w:rsidR="00B07538" w:rsidRPr="00DD3004">
              <w:rPr>
                <w:sz w:val="26"/>
                <w:szCs w:val="26"/>
              </w:rPr>
              <w:t>.</w:t>
            </w:r>
            <w:r w:rsidR="00853680" w:rsidRPr="00DD3004">
              <w:rPr>
                <w:sz w:val="26"/>
                <w:szCs w:val="26"/>
              </w:rPr>
              <w:t xml:space="preserve"> Строк дії договору оренди № </w:t>
            </w:r>
            <w:r w:rsidR="00B07538" w:rsidRPr="00DD3004">
              <w:rPr>
                <w:sz w:val="26"/>
                <w:szCs w:val="26"/>
              </w:rPr>
              <w:t>5</w:t>
            </w:r>
            <w:r w:rsidR="00AA54C1" w:rsidRPr="00DD3004">
              <w:rPr>
                <w:sz w:val="26"/>
                <w:szCs w:val="26"/>
              </w:rPr>
              <w:t>083</w:t>
            </w:r>
            <w:r w:rsidR="00853680" w:rsidRPr="00DD3004">
              <w:rPr>
                <w:sz w:val="26"/>
                <w:szCs w:val="26"/>
              </w:rPr>
              <w:t xml:space="preserve"> від </w:t>
            </w:r>
            <w:r w:rsidR="00AA54C1" w:rsidRPr="00DD3004">
              <w:rPr>
                <w:sz w:val="26"/>
                <w:szCs w:val="26"/>
              </w:rPr>
              <w:t>12.02.2016</w:t>
            </w:r>
            <w:r w:rsidR="00853680" w:rsidRPr="00DD3004">
              <w:rPr>
                <w:color w:val="000000"/>
                <w:sz w:val="26"/>
                <w:szCs w:val="26"/>
              </w:rPr>
              <w:t xml:space="preserve">– </w:t>
            </w:r>
            <w:r w:rsidR="00853680" w:rsidRPr="00DD3004">
              <w:rPr>
                <w:sz w:val="26"/>
                <w:szCs w:val="26"/>
              </w:rPr>
              <w:t xml:space="preserve">до </w:t>
            </w:r>
            <w:r w:rsidR="00AA54C1" w:rsidRPr="00DD3004">
              <w:rPr>
                <w:sz w:val="26"/>
                <w:szCs w:val="26"/>
              </w:rPr>
              <w:t>12.12</w:t>
            </w:r>
            <w:r w:rsidR="00DC4091" w:rsidRPr="00DD3004">
              <w:rPr>
                <w:sz w:val="26"/>
                <w:szCs w:val="26"/>
              </w:rPr>
              <w:t>.2021</w:t>
            </w:r>
            <w:r w:rsidR="00853680" w:rsidRPr="00DD3004">
              <w:rPr>
                <w:color w:val="000000"/>
                <w:sz w:val="26"/>
                <w:szCs w:val="26"/>
              </w:rPr>
              <w:t xml:space="preserve">. </w:t>
            </w:r>
            <w:bookmarkEnd w:id="3"/>
          </w:p>
        </w:tc>
      </w:tr>
      <w:tr w:rsidR="00C9278B" w:rsidRPr="00492382" w:rsidTr="00DD3004">
        <w:trPr>
          <w:cantSplit/>
        </w:trPr>
        <w:tc>
          <w:tcPr>
            <w:tcW w:w="5176" w:type="dxa"/>
          </w:tcPr>
          <w:p w:rsidR="00C9278B" w:rsidRPr="00492382" w:rsidRDefault="00C9278B" w:rsidP="00C9278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10388" w:type="dxa"/>
          </w:tcPr>
          <w:p w:rsidR="00C9278B" w:rsidRPr="00824AD8" w:rsidRDefault="005F7766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C9278B" w:rsidRPr="00492382" w:rsidTr="00DD3004">
        <w:trPr>
          <w:cantSplit/>
          <w:trHeight w:val="405"/>
        </w:trPr>
        <w:tc>
          <w:tcPr>
            <w:tcW w:w="5176" w:type="dxa"/>
          </w:tcPr>
          <w:p w:rsidR="00C9278B" w:rsidRPr="00492382" w:rsidRDefault="00C9278B" w:rsidP="00C9278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10388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A241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9A259B" w:rsidRPr="009A259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22.10.2014</w:t>
            </w:r>
          </w:p>
        </w:tc>
      </w:tr>
      <w:tr w:rsidR="00C9278B" w:rsidRPr="00492382" w:rsidTr="00DD3004">
        <w:trPr>
          <w:cantSplit/>
        </w:trPr>
        <w:tc>
          <w:tcPr>
            <w:tcW w:w="5176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10388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C9278B" w:rsidRPr="00492382" w:rsidTr="00DD3004">
        <w:trPr>
          <w:cantSplit/>
        </w:trPr>
        <w:tc>
          <w:tcPr>
            <w:tcW w:w="5176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10388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DD3004">
        <w:trPr>
          <w:cantSplit/>
        </w:trPr>
        <w:tc>
          <w:tcPr>
            <w:tcW w:w="5176" w:type="dxa"/>
            <w:vMerge w:val="restart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388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</w:t>
            </w:r>
            <w:r w:rsidR="003E3A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 w:rsidR="0046425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Start w:id="6" w:name="_Hlk23416848"/>
            <w:r w:rsidR="00013C6F" w:rsidRPr="0001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20.08.</w:t>
            </w:r>
            <w:r w:rsidR="00100148" w:rsidRPr="0001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2020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013C6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двадцятого серпня</w:t>
            </w:r>
            <w:r w:rsidR="00100148" w:rsidRPr="00D444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дві тисячі двадцятого року),</w:t>
            </w:r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6"/>
            <w:r w:rsidR="00280445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DD3004">
        <w:trPr>
          <w:cantSplit/>
        </w:trPr>
        <w:tc>
          <w:tcPr>
            <w:tcW w:w="5176" w:type="dxa"/>
            <w:vMerge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88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складає </w:t>
            </w:r>
            <w:r w:rsidRPr="00F905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C9278B" w:rsidRPr="00492382" w:rsidTr="00DD3004">
        <w:trPr>
          <w:cantSplit/>
        </w:trPr>
        <w:tc>
          <w:tcPr>
            <w:tcW w:w="5176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 кінцевий строк подання заяви на участь в електронному аукціоні</w:t>
            </w:r>
          </w:p>
        </w:tc>
        <w:tc>
          <w:tcPr>
            <w:tcW w:w="10388" w:type="dxa"/>
          </w:tcPr>
          <w:p w:rsidR="00C9278B" w:rsidRPr="00EC6C3F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C9278B" w:rsidRPr="007D0A21" w:rsidRDefault="00C9278B" w:rsidP="00C9278B">
            <w:pPr>
              <w:spacing w:after="150" w:line="240" w:lineRule="auto"/>
              <w:jc w:val="both"/>
              <w:rPr>
                <w:color w:val="000000"/>
                <w:highlight w:val="green"/>
                <w:lang w:val="uk-UA"/>
              </w:rPr>
            </w:pPr>
            <w:r w:rsidRPr="00EC6C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C9278B" w:rsidRPr="00492382" w:rsidTr="00DD3004">
        <w:trPr>
          <w:cantSplit/>
        </w:trPr>
        <w:tc>
          <w:tcPr>
            <w:tcW w:w="5176" w:type="dxa"/>
          </w:tcPr>
          <w:p w:rsidR="00C9278B" w:rsidRPr="00492382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3. інформація про умови, на яких здійснюється приватизація об’єкта:</w:t>
            </w:r>
          </w:p>
        </w:tc>
        <w:tc>
          <w:tcPr>
            <w:tcW w:w="10388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C9278B" w:rsidRPr="00492382" w:rsidTr="00DD3004">
        <w:trPr>
          <w:cantSplit/>
        </w:trPr>
        <w:tc>
          <w:tcPr>
            <w:tcW w:w="5176" w:type="dxa"/>
            <w:vMerge w:val="restart"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C9278B" w:rsidRPr="00455D31" w:rsidRDefault="00C9278B" w:rsidP="00C9278B">
            <w:pPr>
              <w:pStyle w:val="a8"/>
              <w:ind w:firstLine="567"/>
            </w:pPr>
          </w:p>
        </w:tc>
        <w:tc>
          <w:tcPr>
            <w:tcW w:w="10388" w:type="dxa"/>
          </w:tcPr>
          <w:p w:rsidR="00C9278B" w:rsidRPr="00D42EA7" w:rsidRDefault="00C9278B" w:rsidP="00C9278B">
            <w:pPr>
              <w:pStyle w:val="a8"/>
              <w:ind w:left="31" w:firstLine="0"/>
              <w:rPr>
                <w:color w:val="000000"/>
              </w:rPr>
            </w:pPr>
            <w:r w:rsidRPr="00D42EA7">
              <w:t>Аукціон з умовами (балансова вартість)</w:t>
            </w:r>
            <w:r w:rsidRPr="00D42EA7">
              <w:rPr>
                <w:color w:val="000000"/>
              </w:rPr>
              <w:t xml:space="preserve">– </w:t>
            </w:r>
            <w:r w:rsidR="00183664">
              <w:rPr>
                <w:color w:val="000000"/>
              </w:rPr>
              <w:t xml:space="preserve">438 415,00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</w:t>
            </w:r>
          </w:p>
        </w:tc>
      </w:tr>
      <w:tr w:rsidR="00C9278B" w:rsidRPr="00492382" w:rsidTr="00DD3004">
        <w:trPr>
          <w:cantSplit/>
        </w:trPr>
        <w:tc>
          <w:tcPr>
            <w:tcW w:w="5176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388" w:type="dxa"/>
          </w:tcPr>
          <w:p w:rsidR="00C9278B" w:rsidRPr="00D42EA7" w:rsidRDefault="00C9278B" w:rsidP="00C9278B">
            <w:pPr>
              <w:pStyle w:val="a8"/>
              <w:ind w:firstLine="0"/>
              <w:rPr>
                <w:color w:val="000000"/>
              </w:rPr>
            </w:pPr>
            <w:r w:rsidRPr="00D42EA7">
              <w:t xml:space="preserve">Аукціон із зниженням стартової ціни </w:t>
            </w:r>
            <w:r w:rsidRPr="00D42EA7">
              <w:rPr>
                <w:color w:val="000000"/>
              </w:rPr>
              <w:t>–</w:t>
            </w:r>
            <w:r w:rsidR="00183664">
              <w:rPr>
                <w:color w:val="000000"/>
              </w:rPr>
              <w:t xml:space="preserve"> 219 207,50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DD3004">
        <w:trPr>
          <w:cantSplit/>
        </w:trPr>
        <w:tc>
          <w:tcPr>
            <w:tcW w:w="5176" w:type="dxa"/>
            <w:vMerge/>
          </w:tcPr>
          <w:p w:rsidR="00C9278B" w:rsidRPr="00492382" w:rsidRDefault="00C9278B" w:rsidP="00C927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10388" w:type="dxa"/>
          </w:tcPr>
          <w:p w:rsidR="00C9278B" w:rsidRPr="00D42EA7" w:rsidRDefault="00C9278B" w:rsidP="00C9278B">
            <w:pPr>
              <w:pStyle w:val="a8"/>
              <w:ind w:firstLine="0"/>
            </w:pPr>
            <w:r w:rsidRPr="00D42EA7">
              <w:t xml:space="preserve">Аукціон за методом покрокового зниження стартової ціни та подальшого подання цінових пропозицій </w:t>
            </w:r>
            <w:r w:rsidRPr="00D42EA7">
              <w:rPr>
                <w:color w:val="000000"/>
              </w:rPr>
              <w:t>–</w:t>
            </w:r>
            <w:r w:rsidR="00183664">
              <w:rPr>
                <w:color w:val="000000"/>
              </w:rPr>
              <w:t xml:space="preserve"> 219 207,50 </w:t>
            </w:r>
            <w:r w:rsidR="00EC7CBA">
              <w:rPr>
                <w:color w:val="000000"/>
              </w:rPr>
              <w:t>грн</w:t>
            </w:r>
            <w:r w:rsidRPr="00D42EA7">
              <w:rPr>
                <w:color w:val="000000"/>
              </w:rPr>
              <w:t xml:space="preserve"> без ПДВ.</w:t>
            </w:r>
          </w:p>
        </w:tc>
      </w:tr>
      <w:tr w:rsidR="00C9278B" w:rsidRPr="00492382" w:rsidTr="00DD3004">
        <w:trPr>
          <w:cantSplit/>
          <w:trHeight w:val="315"/>
        </w:trPr>
        <w:tc>
          <w:tcPr>
            <w:tcW w:w="5176" w:type="dxa"/>
            <w:vMerge w:val="restart"/>
          </w:tcPr>
          <w:p w:rsidR="00C9278B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10388" w:type="dxa"/>
          </w:tcPr>
          <w:p w:rsidR="00C9278B" w:rsidRPr="00D42EA7" w:rsidRDefault="00C9278B" w:rsidP="00C9278B">
            <w:pPr>
              <w:pStyle w:val="a8"/>
              <w:ind w:firstLine="31"/>
              <w:rPr>
                <w:color w:val="000000"/>
              </w:rPr>
            </w:pPr>
            <w:r w:rsidRPr="00D42EA7">
              <w:t>Аукціон з умовами –</w:t>
            </w:r>
            <w:r w:rsidR="00183664">
              <w:t xml:space="preserve"> 43 841,50 </w:t>
            </w:r>
            <w:r w:rsidR="00EC7CBA">
              <w:t>грн</w:t>
            </w:r>
            <w:r w:rsidRPr="00D42EA7">
              <w:t xml:space="preserve">  </w:t>
            </w:r>
          </w:p>
        </w:tc>
      </w:tr>
      <w:tr w:rsidR="00C9278B" w:rsidRPr="00492382" w:rsidTr="00DD3004">
        <w:trPr>
          <w:cantSplit/>
          <w:trHeight w:val="421"/>
        </w:trPr>
        <w:tc>
          <w:tcPr>
            <w:tcW w:w="5176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388" w:type="dxa"/>
          </w:tcPr>
          <w:p w:rsidR="00C9278B" w:rsidRPr="00D42EA7" w:rsidRDefault="00C9278B" w:rsidP="00C9278B">
            <w:pPr>
              <w:pStyle w:val="a8"/>
              <w:ind w:firstLine="31"/>
              <w:rPr>
                <w:lang w:val="ru-RU"/>
              </w:rPr>
            </w:pPr>
            <w:r w:rsidRPr="00D42EA7">
              <w:t>Аукціон із зниженням стартової ціни –</w:t>
            </w:r>
            <w:r w:rsidR="00183664">
              <w:t xml:space="preserve"> 21 920,75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DD3004">
        <w:trPr>
          <w:cantSplit/>
          <w:trHeight w:val="697"/>
        </w:trPr>
        <w:tc>
          <w:tcPr>
            <w:tcW w:w="5176" w:type="dxa"/>
            <w:vMerge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388" w:type="dxa"/>
          </w:tcPr>
          <w:p w:rsidR="00C9278B" w:rsidRPr="00D42EA7" w:rsidRDefault="00C9278B" w:rsidP="00C9278B">
            <w:pPr>
              <w:pStyle w:val="a8"/>
              <w:ind w:firstLine="0"/>
              <w:rPr>
                <w:lang w:val="ru-RU"/>
              </w:rPr>
            </w:pPr>
            <w:r w:rsidRPr="00D42EA7">
              <w:t>Аукціон за методом покрокового зниження стартової ціни та подальшого подання цінових пропозицій –</w:t>
            </w:r>
            <w:r w:rsidR="00183664">
              <w:t xml:space="preserve"> 21 920,75 </w:t>
            </w:r>
            <w:proofErr w:type="spellStart"/>
            <w:r w:rsidR="00EC7CBA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C9278B" w:rsidRPr="00492382" w:rsidTr="00DD3004">
        <w:trPr>
          <w:cantSplit/>
          <w:trHeight w:val="409"/>
        </w:trPr>
        <w:tc>
          <w:tcPr>
            <w:tcW w:w="5176" w:type="dxa"/>
          </w:tcPr>
          <w:p w:rsidR="00C9278B" w:rsidRPr="00DD3004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10388" w:type="dxa"/>
          </w:tcPr>
          <w:p w:rsidR="00C9278B" w:rsidRPr="00EC6C3F" w:rsidRDefault="00540261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C9278B" w:rsidRPr="00EC6C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4,60 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C9278B" w:rsidRPr="00492382" w:rsidTr="00DD3004">
        <w:trPr>
          <w:cantSplit/>
          <w:trHeight w:val="1635"/>
        </w:trPr>
        <w:tc>
          <w:tcPr>
            <w:tcW w:w="5176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n102"/>
            <w:bookmarkEnd w:id="7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10388" w:type="dxa"/>
          </w:tcPr>
          <w:p w:rsidR="00291D7F" w:rsidRPr="00DD3004" w:rsidRDefault="00C9278B" w:rsidP="00B95A14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D30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 w:rsidR="002C649C" w:rsidRPr="00DD30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DD30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C9278B" w:rsidRPr="00492382" w:rsidTr="00DD3004">
        <w:trPr>
          <w:cantSplit/>
          <w:trHeight w:val="695"/>
        </w:trPr>
        <w:tc>
          <w:tcPr>
            <w:tcW w:w="5176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10388" w:type="dxa"/>
          </w:tcPr>
          <w:p w:rsidR="00C9278B" w:rsidRDefault="00C9278B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D30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DD30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  <w:p w:rsidR="00DD3004" w:rsidRDefault="00DD3004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D3004" w:rsidRDefault="00DD3004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D3004" w:rsidRDefault="00DD3004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D3004" w:rsidRDefault="00DD3004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D3004" w:rsidRPr="00DD3004" w:rsidRDefault="00DD3004" w:rsidP="00280445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C9278B" w:rsidRPr="00492382" w:rsidTr="00DD3004">
        <w:trPr>
          <w:cantSplit/>
        </w:trPr>
        <w:tc>
          <w:tcPr>
            <w:tcW w:w="5176" w:type="dxa"/>
          </w:tcPr>
          <w:p w:rsidR="00C9278B" w:rsidRPr="00492382" w:rsidRDefault="00C9278B" w:rsidP="00C9278B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10388" w:type="dxa"/>
          </w:tcPr>
          <w:p w:rsidR="00C9278B" w:rsidRPr="007D0A21" w:rsidRDefault="00C9278B" w:rsidP="00C9278B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701152" w:rsidTr="00DD3004">
        <w:trPr>
          <w:cantSplit/>
        </w:trPr>
        <w:tc>
          <w:tcPr>
            <w:tcW w:w="5176" w:type="dxa"/>
          </w:tcPr>
          <w:p w:rsidR="00326877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326877" w:rsidRPr="00492382" w:rsidRDefault="00326877" w:rsidP="0032687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388" w:type="dxa"/>
          </w:tcPr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326877" w:rsidRPr="00A02E59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326877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326877" w:rsidRPr="00AC04BC" w:rsidRDefault="00326877" w:rsidP="0032687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326877" w:rsidRPr="00A02E59" w:rsidRDefault="00326877" w:rsidP="009A6A6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</w:tc>
      </w:tr>
      <w:tr w:rsidR="00326877" w:rsidRPr="00701152" w:rsidTr="00DD3004">
        <w:trPr>
          <w:cantSplit/>
        </w:trPr>
        <w:tc>
          <w:tcPr>
            <w:tcW w:w="5176" w:type="dxa"/>
          </w:tcPr>
          <w:p w:rsidR="00326877" w:rsidRPr="00DD3004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сайта</w:t>
            </w:r>
            <w:proofErr w:type="spellEnd"/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10388" w:type="dxa"/>
          </w:tcPr>
          <w:p w:rsidR="00326877" w:rsidRPr="00DD3004" w:rsidRDefault="00701152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326877" w:rsidRPr="00DD3004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uk-UA" w:eastAsia="ru-RU"/>
                </w:rPr>
                <w:t>https://prozorro.sale/info/elektronni-majdanchiki-ets-prozorroprodazhi-cbd2</w:t>
              </w:r>
            </w:hyperlink>
            <w:r w:rsidR="00326877" w:rsidRPr="00DD3004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</w:tr>
      <w:tr w:rsidR="00326877" w:rsidRPr="00DD3004" w:rsidTr="00DD3004">
        <w:trPr>
          <w:cantSplit/>
        </w:trPr>
        <w:tc>
          <w:tcPr>
            <w:tcW w:w="5176" w:type="dxa"/>
          </w:tcPr>
          <w:p w:rsidR="00326877" w:rsidRPr="00DD3004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10388" w:type="dxa"/>
          </w:tcPr>
          <w:p w:rsidR="00326877" w:rsidRPr="00DD3004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</w:t>
            </w:r>
            <w:r w:rsidR="00183664"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</w:t>
            </w: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-00 до 1</w:t>
            </w:r>
            <w:r w:rsidR="00183664"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</w:t>
            </w: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-00, Пт з </w:t>
            </w:r>
            <w:r w:rsidR="00183664"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</w:t>
            </w: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-00 до 1</w:t>
            </w:r>
            <w:r w:rsidR="00183664"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</w:t>
            </w: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-45. Контактна особа: </w:t>
            </w:r>
            <w:proofErr w:type="spellStart"/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Замніус</w:t>
            </w:r>
            <w:proofErr w:type="spellEnd"/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Марина Василівна, контактний телефон +38(057)725 25 29,</w:t>
            </w: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DD3004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vpfv</w:t>
              </w:r>
              <w:r w:rsidRPr="00DD3004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eastAsia="ru-RU"/>
                </w:rPr>
                <w:t>.10@</w:t>
              </w:r>
              <w:r w:rsidRPr="00DD3004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gmail</w:t>
              </w:r>
              <w:r w:rsidRPr="00DD3004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eastAsia="ru-RU"/>
                </w:rPr>
                <w:t>.</w:t>
              </w:r>
              <w:r w:rsidRPr="00DD3004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lang w:val="en-US" w:eastAsia="ru-RU"/>
                </w:rPr>
                <w:t>com</w:t>
              </w:r>
            </w:hyperlink>
          </w:p>
        </w:tc>
      </w:tr>
      <w:tr w:rsidR="00326877" w:rsidRPr="00701152" w:rsidTr="00DD3004">
        <w:trPr>
          <w:cantSplit/>
        </w:trPr>
        <w:tc>
          <w:tcPr>
            <w:tcW w:w="5176" w:type="dxa"/>
          </w:tcPr>
          <w:p w:rsidR="00326877" w:rsidRPr="00DD3004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4.4. час і місце проведення огляду об</w:t>
            </w: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’</w:t>
            </w:r>
            <w:proofErr w:type="spellStart"/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єкта</w:t>
            </w:r>
            <w:proofErr w:type="spellEnd"/>
          </w:p>
        </w:tc>
        <w:tc>
          <w:tcPr>
            <w:tcW w:w="10388" w:type="dxa"/>
          </w:tcPr>
          <w:p w:rsidR="009A6A67" w:rsidRPr="00DD3004" w:rsidRDefault="0050677C" w:rsidP="00112230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коронавірусом</w:t>
            </w:r>
            <w:proofErr w:type="spellEnd"/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20.05.2020, (зі змінами) за місцем його розташування у робочі дні, попередньо узгодивши з Управлінням комунального майна та приватизації годину огляду за телефоном+38(057)725 25 29 у робочі дні з 09-00 до 16-00.</w:t>
            </w:r>
          </w:p>
        </w:tc>
      </w:tr>
      <w:tr w:rsidR="00326877" w:rsidRPr="00492382" w:rsidTr="00DD3004">
        <w:trPr>
          <w:cantSplit/>
        </w:trPr>
        <w:tc>
          <w:tcPr>
            <w:tcW w:w="5176" w:type="dxa"/>
          </w:tcPr>
          <w:p w:rsidR="00326877" w:rsidRPr="00492382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10388" w:type="dxa"/>
          </w:tcPr>
          <w:p w:rsidR="00326877" w:rsidRPr="007D0A21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</w:tr>
      <w:tr w:rsidR="00326877" w:rsidRPr="00701152" w:rsidTr="00DD3004">
        <w:trPr>
          <w:cantSplit/>
        </w:trPr>
        <w:tc>
          <w:tcPr>
            <w:tcW w:w="5176" w:type="dxa"/>
          </w:tcPr>
          <w:p w:rsidR="00326877" w:rsidRPr="00DD3004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10388" w:type="dxa"/>
          </w:tcPr>
          <w:p w:rsidR="00326877" w:rsidRPr="00FB488C" w:rsidRDefault="00484830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DD300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21.07.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2020 </w:t>
            </w:r>
            <w:r w:rsidR="00DD300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273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8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від </w:t>
            </w:r>
            <w:r w:rsidR="0018366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15.07.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2020 засідання аукціонної комісії </w:t>
            </w:r>
            <w:bookmarkEnd w:id="8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сесії Харківської міської ради 7 скликання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24.06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№</w:t>
            </w:r>
            <w:r w:rsidR="0018366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2160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66082A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«Про внесення змін до деяких рішень Харківської міської ради щодо затвердження переліку об’єктів, що підлягають приватизації»</w:t>
            </w:r>
          </w:p>
        </w:tc>
      </w:tr>
      <w:tr w:rsidR="00326877" w:rsidRPr="004D54A0" w:rsidTr="00DD3004">
        <w:trPr>
          <w:cantSplit/>
        </w:trPr>
        <w:tc>
          <w:tcPr>
            <w:tcW w:w="5176" w:type="dxa"/>
          </w:tcPr>
          <w:p w:rsidR="00326877" w:rsidRPr="00DD3004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bookmarkStart w:id="9" w:name="assetID"/>
        <w:tc>
          <w:tcPr>
            <w:tcW w:w="10388" w:type="dxa"/>
          </w:tcPr>
          <w:p w:rsidR="00326877" w:rsidRPr="00DD3004" w:rsidRDefault="008F4732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DD3004">
              <w:rPr>
                <w:sz w:val="26"/>
                <w:szCs w:val="26"/>
              </w:rPr>
              <w:fldChar w:fldCharType="begin"/>
            </w:r>
            <w:r w:rsidR="004D54A0" w:rsidRPr="00DD3004">
              <w:rPr>
                <w:sz w:val="26"/>
                <w:szCs w:val="26"/>
              </w:rPr>
              <w:instrText xml:space="preserve"> HYPERLINK "https://sale.uub.com.ua/asset/UA-AR-P-2020-06-30-000006-2" </w:instrText>
            </w:r>
            <w:r w:rsidRPr="00DD3004">
              <w:rPr>
                <w:sz w:val="26"/>
                <w:szCs w:val="26"/>
              </w:rPr>
              <w:fldChar w:fldCharType="separate"/>
            </w:r>
            <w:r w:rsidR="004D54A0" w:rsidRPr="00DD3004">
              <w:rPr>
                <w:rStyle w:val="a7"/>
                <w:rFonts w:ascii="Segoe UI" w:hAnsi="Segoe UI" w:cs="Segoe UI"/>
                <w:color w:val="auto"/>
                <w:sz w:val="26"/>
                <w:szCs w:val="26"/>
                <w:shd w:val="clear" w:color="auto" w:fill="FFFFFF"/>
              </w:rPr>
              <w:t>UA-AR-P-2020-06-30-000006-2</w:t>
            </w:r>
            <w:r w:rsidRPr="00DD3004">
              <w:rPr>
                <w:sz w:val="26"/>
                <w:szCs w:val="26"/>
              </w:rPr>
              <w:fldChar w:fldCharType="end"/>
            </w:r>
            <w:bookmarkEnd w:id="9"/>
          </w:p>
        </w:tc>
      </w:tr>
      <w:tr w:rsidR="00326877" w:rsidRPr="00492382" w:rsidTr="00DD3004">
        <w:trPr>
          <w:cantSplit/>
          <w:trHeight w:val="295"/>
        </w:trPr>
        <w:tc>
          <w:tcPr>
            <w:tcW w:w="5176" w:type="dxa"/>
            <w:vMerge w:val="restart"/>
          </w:tcPr>
          <w:p w:rsidR="00326877" w:rsidRPr="00DD3004" w:rsidRDefault="00326877" w:rsidP="009A6A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</w:tc>
        <w:tc>
          <w:tcPr>
            <w:tcW w:w="10388" w:type="dxa"/>
          </w:tcPr>
          <w:p w:rsidR="00326877" w:rsidRPr="005479FB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79F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Аукціон з умовами – </w:t>
            </w:r>
            <w:r w:rsidR="001836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4 384,15</w:t>
            </w:r>
            <w:r w:rsidR="00EC7CB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326877" w:rsidRPr="00492382" w:rsidTr="00DD3004">
        <w:trPr>
          <w:cantSplit/>
        </w:trPr>
        <w:tc>
          <w:tcPr>
            <w:tcW w:w="5176" w:type="dxa"/>
            <w:vMerge/>
          </w:tcPr>
          <w:p w:rsidR="00326877" w:rsidRPr="00DD3004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0388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із зниженням стартової ціни –</w:t>
            </w:r>
            <w:r w:rsidR="00183664">
              <w:rPr>
                <w:color w:val="000000"/>
              </w:rPr>
              <w:t xml:space="preserve"> 2 192,08 </w:t>
            </w:r>
            <w:r w:rsidR="00EC7CBA">
              <w:rPr>
                <w:color w:val="000000"/>
              </w:rPr>
              <w:t>грн</w:t>
            </w:r>
          </w:p>
        </w:tc>
      </w:tr>
      <w:tr w:rsidR="00326877" w:rsidRPr="00492382" w:rsidTr="00DD3004">
        <w:trPr>
          <w:cantSplit/>
        </w:trPr>
        <w:tc>
          <w:tcPr>
            <w:tcW w:w="5176" w:type="dxa"/>
            <w:vMerge/>
          </w:tcPr>
          <w:p w:rsidR="00326877" w:rsidRPr="00DD3004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0388" w:type="dxa"/>
          </w:tcPr>
          <w:p w:rsidR="00326877" w:rsidRPr="005479FB" w:rsidRDefault="00326877" w:rsidP="00326877">
            <w:pPr>
              <w:pStyle w:val="a8"/>
              <w:ind w:firstLine="0"/>
              <w:rPr>
                <w:color w:val="000000"/>
              </w:rPr>
            </w:pPr>
            <w:r w:rsidRPr="005479FB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183664">
              <w:rPr>
                <w:color w:val="000000"/>
              </w:rPr>
              <w:t xml:space="preserve"> 2 192,08 </w:t>
            </w:r>
            <w:r w:rsidR="00EC7CBA">
              <w:rPr>
                <w:color w:val="000000"/>
              </w:rPr>
              <w:t>грн</w:t>
            </w:r>
            <w:r w:rsidRPr="005479FB">
              <w:rPr>
                <w:color w:val="000000"/>
              </w:rPr>
              <w:t xml:space="preserve"> </w:t>
            </w:r>
          </w:p>
        </w:tc>
      </w:tr>
      <w:tr w:rsidR="00326877" w:rsidRPr="00492382" w:rsidTr="00DD3004">
        <w:trPr>
          <w:cantSplit/>
        </w:trPr>
        <w:tc>
          <w:tcPr>
            <w:tcW w:w="5176" w:type="dxa"/>
          </w:tcPr>
          <w:p w:rsidR="00326877" w:rsidRPr="00DD3004" w:rsidRDefault="00326877" w:rsidP="009A6A6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10388" w:type="dxa"/>
          </w:tcPr>
          <w:p w:rsidR="00326877" w:rsidRPr="007D0A21" w:rsidRDefault="00182363" w:rsidP="00326877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013C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26877" w:rsidRPr="00701152" w:rsidTr="00DD3004">
        <w:trPr>
          <w:cantSplit/>
        </w:trPr>
        <w:tc>
          <w:tcPr>
            <w:tcW w:w="5176" w:type="dxa"/>
          </w:tcPr>
          <w:p w:rsidR="00326877" w:rsidRPr="00DD3004" w:rsidRDefault="00326877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10388" w:type="dxa"/>
          </w:tcPr>
          <w:p w:rsidR="00326877" w:rsidRPr="00DD3004" w:rsidRDefault="00701152" w:rsidP="0032687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highlight w:val="green"/>
                <w:lang w:val="uk-UA" w:eastAsia="ru-RU"/>
              </w:rPr>
            </w:pPr>
            <w:hyperlink r:id="rId11" w:history="1">
              <w:r w:rsidR="00326877" w:rsidRPr="00DD3004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326877" w:rsidRPr="00DD3004" w:rsidTr="00DD3004">
        <w:trPr>
          <w:cantSplit/>
          <w:trHeight w:val="583"/>
        </w:trPr>
        <w:tc>
          <w:tcPr>
            <w:tcW w:w="5176" w:type="dxa"/>
          </w:tcPr>
          <w:p w:rsidR="00326877" w:rsidRPr="00DD3004" w:rsidRDefault="00326877" w:rsidP="0032687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5.6. </w:t>
            </w:r>
            <w:proofErr w:type="spellStart"/>
            <w:r w:rsidR="00D739A8"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Проєкт</w:t>
            </w: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и</w:t>
            </w:r>
            <w:proofErr w:type="spellEnd"/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договорів купівлі-продажу</w:t>
            </w:r>
          </w:p>
        </w:tc>
        <w:tc>
          <w:tcPr>
            <w:tcW w:w="10388" w:type="dxa"/>
          </w:tcPr>
          <w:p w:rsidR="00326877" w:rsidRPr="00DD3004" w:rsidRDefault="00326877" w:rsidP="00DD30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Додато</w:t>
            </w:r>
            <w:r w:rsid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к 1. Покупець – орендар об’єкта              </w:t>
            </w:r>
            <w:r w:rsidRPr="00DD3004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Додаток 2. Покупець – не орендар об’єкта</w:t>
            </w:r>
          </w:p>
        </w:tc>
      </w:tr>
    </w:tbl>
    <w:p w:rsidR="00853680" w:rsidRPr="00DD3004" w:rsidRDefault="00853680" w:rsidP="00DD300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53680" w:rsidRPr="00DD3004" w:rsidSect="00DD30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568" w:right="536" w:bottom="0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7D3" w:rsidRDefault="00B027D3" w:rsidP="00C3342C">
      <w:pPr>
        <w:spacing w:after="0" w:line="240" w:lineRule="auto"/>
      </w:pPr>
      <w:r>
        <w:separator/>
      </w:r>
    </w:p>
  </w:endnote>
  <w:endnote w:type="continuationSeparator" w:id="0">
    <w:p w:rsidR="00B027D3" w:rsidRDefault="00B027D3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c"/>
      <w:jc w:val="right"/>
    </w:pPr>
  </w:p>
  <w:p w:rsidR="002C649C" w:rsidRDefault="002C64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7D3" w:rsidRDefault="00B027D3" w:rsidP="00C3342C">
      <w:pPr>
        <w:spacing w:after="0" w:line="240" w:lineRule="auto"/>
      </w:pPr>
      <w:r>
        <w:separator/>
      </w:r>
    </w:p>
  </w:footnote>
  <w:footnote w:type="continuationSeparator" w:id="0">
    <w:p w:rsidR="00B027D3" w:rsidRDefault="00B027D3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759896"/>
      <w:docPartObj>
        <w:docPartGallery w:val="Page Numbers (Top of Page)"/>
        <w:docPartUnique/>
      </w:docPartObj>
    </w:sdtPr>
    <w:sdtEndPr/>
    <w:sdtContent>
      <w:p w:rsidR="002C649C" w:rsidRDefault="008F4732">
        <w:pPr>
          <w:pStyle w:val="aa"/>
          <w:jc w:val="right"/>
        </w:pPr>
        <w:r>
          <w:fldChar w:fldCharType="begin"/>
        </w:r>
        <w:r w:rsidR="00B239C4">
          <w:instrText>PAGE   \* MERGEFORMAT</w:instrText>
        </w:r>
        <w:r>
          <w:fldChar w:fldCharType="separate"/>
        </w:r>
        <w:r w:rsidR="00DD30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C649C" w:rsidRPr="00D52A59" w:rsidRDefault="002C649C" w:rsidP="00D47950">
    <w:pPr>
      <w:pStyle w:val="aa"/>
      <w:ind w:firstLine="13467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49C" w:rsidRDefault="002C649C">
    <w:pPr>
      <w:pStyle w:val="aa"/>
      <w:jc w:val="right"/>
    </w:pPr>
  </w:p>
  <w:p w:rsidR="002C649C" w:rsidRDefault="002C649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B97"/>
    <w:multiLevelType w:val="hybridMultilevel"/>
    <w:tmpl w:val="1A8A6A24"/>
    <w:lvl w:ilvl="0" w:tplc="95BCB7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7322"/>
    <w:rsid w:val="00013C6F"/>
    <w:rsid w:val="00015CA0"/>
    <w:rsid w:val="00017AD5"/>
    <w:rsid w:val="000236B2"/>
    <w:rsid w:val="00025DAD"/>
    <w:rsid w:val="000273E7"/>
    <w:rsid w:val="00030BC3"/>
    <w:rsid w:val="00033111"/>
    <w:rsid w:val="000446AE"/>
    <w:rsid w:val="0004566B"/>
    <w:rsid w:val="00046C95"/>
    <w:rsid w:val="0005308D"/>
    <w:rsid w:val="000566C5"/>
    <w:rsid w:val="00065F63"/>
    <w:rsid w:val="000719E1"/>
    <w:rsid w:val="0007409D"/>
    <w:rsid w:val="00075814"/>
    <w:rsid w:val="000822E1"/>
    <w:rsid w:val="000908F1"/>
    <w:rsid w:val="000B26C1"/>
    <w:rsid w:val="000C0B39"/>
    <w:rsid w:val="000C3757"/>
    <w:rsid w:val="000D23F7"/>
    <w:rsid w:val="000D2D8F"/>
    <w:rsid w:val="000D6E16"/>
    <w:rsid w:val="000D744A"/>
    <w:rsid w:val="000D770A"/>
    <w:rsid w:val="000E7A1D"/>
    <w:rsid w:val="000F20AE"/>
    <w:rsid w:val="000F7812"/>
    <w:rsid w:val="00100148"/>
    <w:rsid w:val="001007F5"/>
    <w:rsid w:val="001068FD"/>
    <w:rsid w:val="00111EFD"/>
    <w:rsid w:val="00112230"/>
    <w:rsid w:val="0011513F"/>
    <w:rsid w:val="00115D24"/>
    <w:rsid w:val="00132E10"/>
    <w:rsid w:val="00144F13"/>
    <w:rsid w:val="001456E9"/>
    <w:rsid w:val="0015020E"/>
    <w:rsid w:val="00151F72"/>
    <w:rsid w:val="00155734"/>
    <w:rsid w:val="00165677"/>
    <w:rsid w:val="00166FC0"/>
    <w:rsid w:val="00173B3A"/>
    <w:rsid w:val="00176155"/>
    <w:rsid w:val="00177AA2"/>
    <w:rsid w:val="0018103C"/>
    <w:rsid w:val="00182363"/>
    <w:rsid w:val="00183664"/>
    <w:rsid w:val="00186EC8"/>
    <w:rsid w:val="00191A0A"/>
    <w:rsid w:val="00193A1A"/>
    <w:rsid w:val="00195A16"/>
    <w:rsid w:val="001A4A69"/>
    <w:rsid w:val="001D11D6"/>
    <w:rsid w:val="001D2257"/>
    <w:rsid w:val="001D3FF8"/>
    <w:rsid w:val="001D4328"/>
    <w:rsid w:val="001E6CD3"/>
    <w:rsid w:val="001F0AFA"/>
    <w:rsid w:val="001F23D7"/>
    <w:rsid w:val="001F3DE0"/>
    <w:rsid w:val="00217759"/>
    <w:rsid w:val="002203DA"/>
    <w:rsid w:val="00230D13"/>
    <w:rsid w:val="002313BE"/>
    <w:rsid w:val="00231617"/>
    <w:rsid w:val="002362C9"/>
    <w:rsid w:val="00236D84"/>
    <w:rsid w:val="00247C52"/>
    <w:rsid w:val="00252380"/>
    <w:rsid w:val="00264CAC"/>
    <w:rsid w:val="00274CFC"/>
    <w:rsid w:val="00280445"/>
    <w:rsid w:val="0028662B"/>
    <w:rsid w:val="00291D7F"/>
    <w:rsid w:val="00291F1A"/>
    <w:rsid w:val="00292143"/>
    <w:rsid w:val="00292635"/>
    <w:rsid w:val="00293365"/>
    <w:rsid w:val="002A2A4D"/>
    <w:rsid w:val="002A5264"/>
    <w:rsid w:val="002B5A40"/>
    <w:rsid w:val="002C47AA"/>
    <w:rsid w:val="002C649C"/>
    <w:rsid w:val="002C64D7"/>
    <w:rsid w:val="002C7EBA"/>
    <w:rsid w:val="002D68C0"/>
    <w:rsid w:val="002E2957"/>
    <w:rsid w:val="002E6EB9"/>
    <w:rsid w:val="002F17C0"/>
    <w:rsid w:val="0031131B"/>
    <w:rsid w:val="0031437B"/>
    <w:rsid w:val="00315520"/>
    <w:rsid w:val="0032603E"/>
    <w:rsid w:val="00326877"/>
    <w:rsid w:val="003274B1"/>
    <w:rsid w:val="0033626D"/>
    <w:rsid w:val="00337B9B"/>
    <w:rsid w:val="00344225"/>
    <w:rsid w:val="003457D5"/>
    <w:rsid w:val="00360695"/>
    <w:rsid w:val="00365FCE"/>
    <w:rsid w:val="00371584"/>
    <w:rsid w:val="003723E2"/>
    <w:rsid w:val="00372711"/>
    <w:rsid w:val="00376210"/>
    <w:rsid w:val="003801D6"/>
    <w:rsid w:val="0039015E"/>
    <w:rsid w:val="003A5CAD"/>
    <w:rsid w:val="003A7C68"/>
    <w:rsid w:val="003B02F3"/>
    <w:rsid w:val="003B68F8"/>
    <w:rsid w:val="003C30E5"/>
    <w:rsid w:val="003C6179"/>
    <w:rsid w:val="003D441E"/>
    <w:rsid w:val="003D7CDF"/>
    <w:rsid w:val="003E3A87"/>
    <w:rsid w:val="003F7EDA"/>
    <w:rsid w:val="00414284"/>
    <w:rsid w:val="00423C0A"/>
    <w:rsid w:val="00430E3A"/>
    <w:rsid w:val="00432564"/>
    <w:rsid w:val="004350E7"/>
    <w:rsid w:val="00442F9B"/>
    <w:rsid w:val="00455D31"/>
    <w:rsid w:val="0046425E"/>
    <w:rsid w:val="004779D6"/>
    <w:rsid w:val="00484830"/>
    <w:rsid w:val="00492382"/>
    <w:rsid w:val="00493748"/>
    <w:rsid w:val="00497284"/>
    <w:rsid w:val="004A13C1"/>
    <w:rsid w:val="004A2042"/>
    <w:rsid w:val="004A3A8B"/>
    <w:rsid w:val="004B34A9"/>
    <w:rsid w:val="004B4984"/>
    <w:rsid w:val="004C5E4B"/>
    <w:rsid w:val="004C7769"/>
    <w:rsid w:val="004D54A0"/>
    <w:rsid w:val="004D571F"/>
    <w:rsid w:val="004D6DF4"/>
    <w:rsid w:val="004D70DC"/>
    <w:rsid w:val="004D734C"/>
    <w:rsid w:val="004E16AE"/>
    <w:rsid w:val="004E4CD5"/>
    <w:rsid w:val="004F112D"/>
    <w:rsid w:val="004F2B51"/>
    <w:rsid w:val="0050677C"/>
    <w:rsid w:val="0050711F"/>
    <w:rsid w:val="0050780F"/>
    <w:rsid w:val="00536535"/>
    <w:rsid w:val="00540261"/>
    <w:rsid w:val="005403E7"/>
    <w:rsid w:val="00541FA4"/>
    <w:rsid w:val="00542C18"/>
    <w:rsid w:val="005479FB"/>
    <w:rsid w:val="00550618"/>
    <w:rsid w:val="00552E04"/>
    <w:rsid w:val="00554C25"/>
    <w:rsid w:val="00561E21"/>
    <w:rsid w:val="00563E31"/>
    <w:rsid w:val="00565343"/>
    <w:rsid w:val="00571A4A"/>
    <w:rsid w:val="00577078"/>
    <w:rsid w:val="00583509"/>
    <w:rsid w:val="00584B61"/>
    <w:rsid w:val="00590DC2"/>
    <w:rsid w:val="005975B8"/>
    <w:rsid w:val="005B6791"/>
    <w:rsid w:val="005C3BD9"/>
    <w:rsid w:val="005C4CB0"/>
    <w:rsid w:val="005D157E"/>
    <w:rsid w:val="005E6D1F"/>
    <w:rsid w:val="005F46F1"/>
    <w:rsid w:val="005F7766"/>
    <w:rsid w:val="00602670"/>
    <w:rsid w:val="0060311D"/>
    <w:rsid w:val="0060634C"/>
    <w:rsid w:val="00611495"/>
    <w:rsid w:val="006122CA"/>
    <w:rsid w:val="00612CE5"/>
    <w:rsid w:val="006174E8"/>
    <w:rsid w:val="00622816"/>
    <w:rsid w:val="00623076"/>
    <w:rsid w:val="00624DBD"/>
    <w:rsid w:val="00670CC6"/>
    <w:rsid w:val="00674896"/>
    <w:rsid w:val="006904F0"/>
    <w:rsid w:val="00695CF7"/>
    <w:rsid w:val="006C0382"/>
    <w:rsid w:val="006E1B24"/>
    <w:rsid w:val="006E5B8E"/>
    <w:rsid w:val="006F286E"/>
    <w:rsid w:val="006F50A9"/>
    <w:rsid w:val="00700E8A"/>
    <w:rsid w:val="00701152"/>
    <w:rsid w:val="007046E8"/>
    <w:rsid w:val="00704D38"/>
    <w:rsid w:val="007221EC"/>
    <w:rsid w:val="00734282"/>
    <w:rsid w:val="00740129"/>
    <w:rsid w:val="00741715"/>
    <w:rsid w:val="00743EE7"/>
    <w:rsid w:val="00744B67"/>
    <w:rsid w:val="00744CE6"/>
    <w:rsid w:val="00746CFB"/>
    <w:rsid w:val="00751408"/>
    <w:rsid w:val="007547D4"/>
    <w:rsid w:val="00760F82"/>
    <w:rsid w:val="007741C3"/>
    <w:rsid w:val="00776EA9"/>
    <w:rsid w:val="00792728"/>
    <w:rsid w:val="00793A64"/>
    <w:rsid w:val="007A330E"/>
    <w:rsid w:val="007A5327"/>
    <w:rsid w:val="007B74C0"/>
    <w:rsid w:val="007D0A21"/>
    <w:rsid w:val="007D3812"/>
    <w:rsid w:val="007D4377"/>
    <w:rsid w:val="007F50B4"/>
    <w:rsid w:val="007F5976"/>
    <w:rsid w:val="007F77D5"/>
    <w:rsid w:val="00802F0C"/>
    <w:rsid w:val="008042F1"/>
    <w:rsid w:val="008105BF"/>
    <w:rsid w:val="0081238E"/>
    <w:rsid w:val="008176E2"/>
    <w:rsid w:val="00833EBF"/>
    <w:rsid w:val="008400A0"/>
    <w:rsid w:val="00840765"/>
    <w:rsid w:val="0084076A"/>
    <w:rsid w:val="00845235"/>
    <w:rsid w:val="008452BB"/>
    <w:rsid w:val="00852FA5"/>
    <w:rsid w:val="00853680"/>
    <w:rsid w:val="00874BBA"/>
    <w:rsid w:val="00890998"/>
    <w:rsid w:val="00896087"/>
    <w:rsid w:val="008A020E"/>
    <w:rsid w:val="008B38E1"/>
    <w:rsid w:val="008B5A09"/>
    <w:rsid w:val="008C3A91"/>
    <w:rsid w:val="008E15B9"/>
    <w:rsid w:val="008E7665"/>
    <w:rsid w:val="008F4732"/>
    <w:rsid w:val="008F6108"/>
    <w:rsid w:val="008F7A9B"/>
    <w:rsid w:val="0091763C"/>
    <w:rsid w:val="00920889"/>
    <w:rsid w:val="00924B8B"/>
    <w:rsid w:val="0092715E"/>
    <w:rsid w:val="009330C1"/>
    <w:rsid w:val="0094103F"/>
    <w:rsid w:val="00945CE4"/>
    <w:rsid w:val="0095509E"/>
    <w:rsid w:val="00961893"/>
    <w:rsid w:val="00977ACA"/>
    <w:rsid w:val="009855E7"/>
    <w:rsid w:val="009A1816"/>
    <w:rsid w:val="009A259B"/>
    <w:rsid w:val="009A48BF"/>
    <w:rsid w:val="009A513C"/>
    <w:rsid w:val="009A6A67"/>
    <w:rsid w:val="009A7870"/>
    <w:rsid w:val="009C7F0E"/>
    <w:rsid w:val="009D4576"/>
    <w:rsid w:val="009D648A"/>
    <w:rsid w:val="00A00A68"/>
    <w:rsid w:val="00A102DA"/>
    <w:rsid w:val="00A207A0"/>
    <w:rsid w:val="00A227D2"/>
    <w:rsid w:val="00A2412D"/>
    <w:rsid w:val="00A244D4"/>
    <w:rsid w:val="00A4447F"/>
    <w:rsid w:val="00A51BBA"/>
    <w:rsid w:val="00A524AB"/>
    <w:rsid w:val="00A5265A"/>
    <w:rsid w:val="00A53472"/>
    <w:rsid w:val="00A55D17"/>
    <w:rsid w:val="00A57C14"/>
    <w:rsid w:val="00A60832"/>
    <w:rsid w:val="00A63477"/>
    <w:rsid w:val="00A866EE"/>
    <w:rsid w:val="00A97416"/>
    <w:rsid w:val="00AA13EE"/>
    <w:rsid w:val="00AA534E"/>
    <w:rsid w:val="00AA54C1"/>
    <w:rsid w:val="00AB5D6E"/>
    <w:rsid w:val="00AB5F90"/>
    <w:rsid w:val="00AC7476"/>
    <w:rsid w:val="00AD7957"/>
    <w:rsid w:val="00AE5B08"/>
    <w:rsid w:val="00AF0E90"/>
    <w:rsid w:val="00AF3565"/>
    <w:rsid w:val="00AF5CAD"/>
    <w:rsid w:val="00B027D3"/>
    <w:rsid w:val="00B07538"/>
    <w:rsid w:val="00B1330B"/>
    <w:rsid w:val="00B229F7"/>
    <w:rsid w:val="00B239C4"/>
    <w:rsid w:val="00B33814"/>
    <w:rsid w:val="00B350AE"/>
    <w:rsid w:val="00B41FB0"/>
    <w:rsid w:val="00B459F8"/>
    <w:rsid w:val="00B50ED3"/>
    <w:rsid w:val="00B56FD7"/>
    <w:rsid w:val="00B91B59"/>
    <w:rsid w:val="00B9302B"/>
    <w:rsid w:val="00B95A14"/>
    <w:rsid w:val="00BA0AC1"/>
    <w:rsid w:val="00BA3F80"/>
    <w:rsid w:val="00BA719B"/>
    <w:rsid w:val="00BB4DB5"/>
    <w:rsid w:val="00BB66AD"/>
    <w:rsid w:val="00BD01DD"/>
    <w:rsid w:val="00BE26AE"/>
    <w:rsid w:val="00BE67A4"/>
    <w:rsid w:val="00BF1AC9"/>
    <w:rsid w:val="00BF5011"/>
    <w:rsid w:val="00C04B71"/>
    <w:rsid w:val="00C06F01"/>
    <w:rsid w:val="00C10000"/>
    <w:rsid w:val="00C13393"/>
    <w:rsid w:val="00C15DE5"/>
    <w:rsid w:val="00C16F66"/>
    <w:rsid w:val="00C31534"/>
    <w:rsid w:val="00C3342C"/>
    <w:rsid w:val="00C36087"/>
    <w:rsid w:val="00C401BD"/>
    <w:rsid w:val="00C51A49"/>
    <w:rsid w:val="00C56D48"/>
    <w:rsid w:val="00C57C64"/>
    <w:rsid w:val="00C6503B"/>
    <w:rsid w:val="00C67755"/>
    <w:rsid w:val="00C75D37"/>
    <w:rsid w:val="00C9278B"/>
    <w:rsid w:val="00C96997"/>
    <w:rsid w:val="00CA548C"/>
    <w:rsid w:val="00CB2137"/>
    <w:rsid w:val="00CC6B04"/>
    <w:rsid w:val="00CD33C2"/>
    <w:rsid w:val="00CD7E95"/>
    <w:rsid w:val="00CE1D54"/>
    <w:rsid w:val="00D01313"/>
    <w:rsid w:val="00D03110"/>
    <w:rsid w:val="00D10745"/>
    <w:rsid w:val="00D133F6"/>
    <w:rsid w:val="00D2251D"/>
    <w:rsid w:val="00D300DB"/>
    <w:rsid w:val="00D34DD4"/>
    <w:rsid w:val="00D42EA7"/>
    <w:rsid w:val="00D43DCE"/>
    <w:rsid w:val="00D47950"/>
    <w:rsid w:val="00D52A59"/>
    <w:rsid w:val="00D5580E"/>
    <w:rsid w:val="00D57A26"/>
    <w:rsid w:val="00D6428E"/>
    <w:rsid w:val="00D64EF5"/>
    <w:rsid w:val="00D66769"/>
    <w:rsid w:val="00D739A8"/>
    <w:rsid w:val="00DC4091"/>
    <w:rsid w:val="00DD3004"/>
    <w:rsid w:val="00DD5655"/>
    <w:rsid w:val="00DE04E1"/>
    <w:rsid w:val="00DE6598"/>
    <w:rsid w:val="00DE71A0"/>
    <w:rsid w:val="00DF1551"/>
    <w:rsid w:val="00DF3D23"/>
    <w:rsid w:val="00DF3D58"/>
    <w:rsid w:val="00DF6238"/>
    <w:rsid w:val="00E047E1"/>
    <w:rsid w:val="00E0497C"/>
    <w:rsid w:val="00E130E8"/>
    <w:rsid w:val="00E50442"/>
    <w:rsid w:val="00E511D7"/>
    <w:rsid w:val="00E521B2"/>
    <w:rsid w:val="00E603FA"/>
    <w:rsid w:val="00E72116"/>
    <w:rsid w:val="00E726C4"/>
    <w:rsid w:val="00E82434"/>
    <w:rsid w:val="00E85829"/>
    <w:rsid w:val="00E90D8B"/>
    <w:rsid w:val="00EA14D2"/>
    <w:rsid w:val="00EA6F2F"/>
    <w:rsid w:val="00EC3F0B"/>
    <w:rsid w:val="00EC6C3F"/>
    <w:rsid w:val="00EC7CBA"/>
    <w:rsid w:val="00ED6D63"/>
    <w:rsid w:val="00ED7BE7"/>
    <w:rsid w:val="00EF1EFF"/>
    <w:rsid w:val="00F0116C"/>
    <w:rsid w:val="00F048E7"/>
    <w:rsid w:val="00F04ADB"/>
    <w:rsid w:val="00F158C3"/>
    <w:rsid w:val="00F204F0"/>
    <w:rsid w:val="00F26C50"/>
    <w:rsid w:val="00F4243E"/>
    <w:rsid w:val="00F43B1D"/>
    <w:rsid w:val="00F46721"/>
    <w:rsid w:val="00F574D2"/>
    <w:rsid w:val="00F6004A"/>
    <w:rsid w:val="00F618D3"/>
    <w:rsid w:val="00F62B0E"/>
    <w:rsid w:val="00F65659"/>
    <w:rsid w:val="00F658DF"/>
    <w:rsid w:val="00F71C12"/>
    <w:rsid w:val="00F74B23"/>
    <w:rsid w:val="00F76BE4"/>
    <w:rsid w:val="00F82326"/>
    <w:rsid w:val="00F834D5"/>
    <w:rsid w:val="00F9053A"/>
    <w:rsid w:val="00F90CFF"/>
    <w:rsid w:val="00F92A50"/>
    <w:rsid w:val="00FA2B60"/>
    <w:rsid w:val="00FA5A47"/>
    <w:rsid w:val="00FB22FB"/>
    <w:rsid w:val="00FB3EB6"/>
    <w:rsid w:val="00FB488C"/>
    <w:rsid w:val="00FC0137"/>
    <w:rsid w:val="00FD121D"/>
    <w:rsid w:val="00FD7C3F"/>
    <w:rsid w:val="00FE5175"/>
    <w:rsid w:val="00FF0FEA"/>
    <w:rsid w:val="00FF3485"/>
    <w:rsid w:val="00FF55BC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8CB9988"/>
  <w15:docId w15:val="{A8C6A3C6-EC70-45FD-A177-871BEDC9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pfv.1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842F-C8E7-45CC-8F4A-0A3991DB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29</cp:revision>
  <cp:lastPrinted>2020-07-22T11:01:00Z</cp:lastPrinted>
  <dcterms:created xsi:type="dcterms:W3CDTF">2020-06-11T11:05:00Z</dcterms:created>
  <dcterms:modified xsi:type="dcterms:W3CDTF">2020-07-27T12:11:00Z</dcterms:modified>
</cp:coreProperties>
</file>