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522"/>
      </w:tblGrid>
      <w:tr w:rsidR="00BD278E" w:rsidRPr="009D4175" w:rsidTr="009D4175">
        <w:trPr>
          <w:trHeight w:val="255"/>
        </w:trPr>
        <w:tc>
          <w:tcPr>
            <w:tcW w:w="9345" w:type="dxa"/>
            <w:gridSpan w:val="2"/>
            <w:hideMark/>
          </w:tcPr>
          <w:p w:rsidR="00BD278E" w:rsidRPr="009D4175" w:rsidRDefault="00BD278E" w:rsidP="00DD2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175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  <w:b/>
                <w:bCs/>
              </w:rPr>
            </w:pPr>
            <w:r w:rsidRPr="009D4175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5522" w:type="dxa"/>
            <w:noWrap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  <w:b/>
                <w:bCs/>
              </w:rPr>
            </w:pPr>
            <w:r w:rsidRPr="009D4175">
              <w:rPr>
                <w:rFonts w:ascii="Times New Roman" w:hAnsi="Times New Roman" w:cs="Times New Roman"/>
                <w:b/>
                <w:bCs/>
              </w:rPr>
              <w:t>9123</w:t>
            </w:r>
          </w:p>
        </w:tc>
      </w:tr>
      <w:tr w:rsidR="00BD278E" w:rsidRPr="00DE460F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22" w:type="dxa"/>
            <w:hideMark/>
          </w:tcPr>
          <w:p w:rsidR="00BD278E" w:rsidRPr="00DE460F" w:rsidRDefault="00343F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3FB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343FB3">
              <w:rPr>
                <w:rFonts w:ascii="Times New Roman" w:hAnsi="Times New Roman" w:cs="Times New Roman"/>
              </w:rPr>
              <w:t xml:space="preserve"> </w:t>
            </w:r>
            <w:r w:rsidRPr="00343FB3">
              <w:rPr>
                <w:rFonts w:ascii="Times New Roman" w:hAnsi="Times New Roman" w:cs="Times New Roman"/>
                <w:lang w:val="uk-UA"/>
              </w:rPr>
              <w:t xml:space="preserve">терміну дії </w:t>
            </w:r>
            <w:r w:rsidRPr="00343FB3">
              <w:rPr>
                <w:rFonts w:ascii="Times New Roman" w:hAnsi="Times New Roman" w:cs="Times New Roman"/>
              </w:rPr>
              <w:t xml:space="preserve">договору </w:t>
            </w:r>
            <w:proofErr w:type="spellStart"/>
            <w:r w:rsidRPr="00343FB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343FB3">
              <w:rPr>
                <w:rFonts w:ascii="Times New Roman" w:hAnsi="Times New Roman" w:cs="Times New Roman"/>
                <w:lang w:val="uk-UA"/>
              </w:rPr>
              <w:t xml:space="preserve"> державного нерухомого майна –</w:t>
            </w:r>
            <w:r>
              <w:rPr>
                <w:rFonts w:ascii="Times New Roman" w:hAnsi="Times New Roman" w:cs="Times New Roman"/>
                <w:lang w:val="uk-UA"/>
              </w:rPr>
              <w:t xml:space="preserve"> нежитлових вбудованих приміщень, загальною площею 149,1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, в окремо розташованій </w:t>
            </w:r>
            <w:r w:rsidR="00DE460F">
              <w:rPr>
                <w:rFonts w:ascii="Times New Roman" w:hAnsi="Times New Roman" w:cs="Times New Roman"/>
                <w:lang w:val="uk-UA"/>
              </w:rPr>
              <w:t xml:space="preserve">будівлі пожежної частини №13 (літ. А) з прибудовами, за </w:t>
            </w:r>
            <w:proofErr w:type="spellStart"/>
            <w:r w:rsidR="00DE460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DE460F">
              <w:rPr>
                <w:rFonts w:ascii="Times New Roman" w:hAnsi="Times New Roman" w:cs="Times New Roman"/>
                <w:lang w:val="uk-UA"/>
              </w:rPr>
              <w:t xml:space="preserve">: Вінницька обл., </w:t>
            </w:r>
            <w:proofErr w:type="spellStart"/>
            <w:r w:rsidR="00DE460F">
              <w:rPr>
                <w:rFonts w:ascii="Times New Roman" w:hAnsi="Times New Roman" w:cs="Times New Roman"/>
                <w:lang w:val="uk-UA"/>
              </w:rPr>
              <w:t>Літинський</w:t>
            </w:r>
            <w:proofErr w:type="spellEnd"/>
            <w:r w:rsidR="00DE460F">
              <w:rPr>
                <w:rFonts w:ascii="Times New Roman" w:hAnsi="Times New Roman" w:cs="Times New Roman"/>
                <w:lang w:val="uk-UA"/>
              </w:rPr>
              <w:t xml:space="preserve"> р-н, смт </w:t>
            </w:r>
            <w:proofErr w:type="spellStart"/>
            <w:r w:rsidR="00DE460F">
              <w:rPr>
                <w:rFonts w:ascii="Times New Roman" w:hAnsi="Times New Roman" w:cs="Times New Roman"/>
                <w:lang w:val="uk-UA"/>
              </w:rPr>
              <w:t>Літин</w:t>
            </w:r>
            <w:proofErr w:type="spellEnd"/>
            <w:r w:rsidR="00DE460F">
              <w:rPr>
                <w:rFonts w:ascii="Times New Roman" w:hAnsi="Times New Roman" w:cs="Times New Roman"/>
                <w:lang w:val="uk-UA"/>
              </w:rPr>
              <w:t>, вул. Богдана Хмельницького (колишня Радянська), 3</w:t>
            </w:r>
            <w:r w:rsidR="00D27D2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DE460F" w:rsidRDefault="00BD278E">
            <w:pPr>
              <w:rPr>
                <w:rFonts w:ascii="Times New Roman" w:hAnsi="Times New Roman" w:cs="Times New Roman"/>
                <w:lang w:val="uk-UA"/>
              </w:rPr>
            </w:pPr>
            <w:r w:rsidRPr="00DE460F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DE460F">
              <w:rPr>
                <w:rFonts w:ascii="Times New Roman" w:hAnsi="Times New Roman" w:cs="Times New Roman"/>
                <w:lang w:val="uk-UA"/>
              </w:rPr>
              <w:t xml:space="preserve">Регіональне відділення ФДМУ  по Вінницькій та </w:t>
            </w:r>
            <w:proofErr w:type="spellStart"/>
            <w:r w:rsidRPr="00DE460F">
              <w:rPr>
                <w:rFonts w:ascii="Times New Roman" w:hAnsi="Times New Roman" w:cs="Times New Roman"/>
                <w:lang w:val="uk-UA"/>
              </w:rPr>
              <w:t>Хмель</w:t>
            </w:r>
            <w:r w:rsidRPr="009D4175">
              <w:rPr>
                <w:rFonts w:ascii="Times New Roman" w:hAnsi="Times New Roman" w:cs="Times New Roman"/>
              </w:rPr>
              <w:t>ницькій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343FB3">
            <w:pPr>
              <w:rPr>
                <w:rFonts w:ascii="Times New Roman" w:hAnsi="Times New Roman" w:cs="Times New Roman"/>
              </w:rPr>
            </w:pPr>
            <w:r w:rsidRPr="00343FB3">
              <w:rPr>
                <w:rFonts w:ascii="Times New Roman" w:hAnsi="Times New Roman" w:cs="Times New Roman"/>
                <w:lang w:val="uk-UA"/>
              </w:rPr>
              <w:t xml:space="preserve">21018, </w:t>
            </w:r>
            <w:r w:rsidRPr="00343FB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43FB3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343F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3FB3">
              <w:rPr>
                <w:rFonts w:ascii="Times New Roman" w:hAnsi="Times New Roman" w:cs="Times New Roman"/>
              </w:rPr>
              <w:t>вул</w:t>
            </w:r>
            <w:proofErr w:type="spellEnd"/>
            <w:r w:rsidRPr="00343FB3">
              <w:rPr>
                <w:rFonts w:ascii="Times New Roman" w:hAnsi="Times New Roman" w:cs="Times New Roman"/>
              </w:rPr>
              <w:t>. Гоголя, 10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пожежно-рятувальний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загін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Головного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38328892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вул</w:t>
            </w:r>
            <w:proofErr w:type="spellEnd"/>
            <w:r w:rsidRPr="009D4175">
              <w:rPr>
                <w:rFonts w:ascii="Times New Roman" w:hAnsi="Times New Roman" w:cs="Times New Roman"/>
              </w:rPr>
              <w:t>. 600-річчя, 11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386 169,00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D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DE460F">
              <w:rPr>
                <w:rFonts w:ascii="Times New Roman" w:hAnsi="Times New Roman" w:cs="Times New Roman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lang w:val="uk-UA"/>
              </w:rPr>
              <w:t xml:space="preserve"> нежитлові вбудовані приміщення</w:t>
            </w:r>
            <w:r w:rsidRPr="00DE460F">
              <w:rPr>
                <w:rFonts w:ascii="Times New Roman" w:hAnsi="Times New Roman" w:cs="Times New Roman"/>
                <w:lang w:val="uk-UA"/>
              </w:rPr>
              <w:t xml:space="preserve">, загальною площею 149,1 </w:t>
            </w:r>
            <w:proofErr w:type="spellStart"/>
            <w:r w:rsidRPr="00DE460F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DE460F">
              <w:rPr>
                <w:rFonts w:ascii="Times New Roman" w:hAnsi="Times New Roman" w:cs="Times New Roman"/>
                <w:lang w:val="uk-UA"/>
              </w:rPr>
              <w:t xml:space="preserve">, в окремо розташованій будівлі пожежної частини №13 (літ. А) з прибудовами, за </w:t>
            </w:r>
            <w:proofErr w:type="spellStart"/>
            <w:r w:rsidRPr="00DE460F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DE460F">
              <w:rPr>
                <w:rFonts w:ascii="Times New Roman" w:hAnsi="Times New Roman" w:cs="Times New Roman"/>
                <w:lang w:val="uk-UA"/>
              </w:rPr>
              <w:t xml:space="preserve">: Вінницька обл., </w:t>
            </w:r>
            <w:proofErr w:type="spellStart"/>
            <w:r w:rsidRPr="00DE460F">
              <w:rPr>
                <w:rFonts w:ascii="Times New Roman" w:hAnsi="Times New Roman" w:cs="Times New Roman"/>
                <w:lang w:val="uk-UA"/>
              </w:rPr>
              <w:t>Літинський</w:t>
            </w:r>
            <w:proofErr w:type="spellEnd"/>
            <w:r w:rsidRPr="00DE460F">
              <w:rPr>
                <w:rFonts w:ascii="Times New Roman" w:hAnsi="Times New Roman" w:cs="Times New Roman"/>
                <w:lang w:val="uk-UA"/>
              </w:rPr>
              <w:t xml:space="preserve"> р-н, смт </w:t>
            </w:r>
            <w:proofErr w:type="spellStart"/>
            <w:r w:rsidRPr="00DE460F">
              <w:rPr>
                <w:rFonts w:ascii="Times New Roman" w:hAnsi="Times New Roman" w:cs="Times New Roman"/>
                <w:lang w:val="uk-UA"/>
              </w:rPr>
              <w:t>Літин</w:t>
            </w:r>
            <w:proofErr w:type="spellEnd"/>
            <w:r w:rsidRPr="00DE460F">
              <w:rPr>
                <w:rFonts w:ascii="Times New Roman" w:hAnsi="Times New Roman" w:cs="Times New Roman"/>
                <w:lang w:val="uk-UA"/>
              </w:rPr>
              <w:t>, вул. Богдана Хмельницького (колишня Радянська), 3</w:t>
            </w:r>
          </w:p>
        </w:tc>
      </w:tr>
      <w:tr w:rsidR="00BD278E" w:rsidRPr="009D4175" w:rsidTr="009D4175">
        <w:trPr>
          <w:trHeight w:val="105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https://drive.google.com/open?id=1Asm96kbOEWRyRiCxtzfkdw3EFqe3dnGS, https://drive.google.com/open?id=1rkfjjKtd0NcA5x2k9KEKPDZ4Sgrt66B0, https://drive.google.com/open?id=15M8aJNy6IPyVQsQfPbRwJwHX_YiF9o_M</w:t>
            </w:r>
          </w:p>
        </w:tc>
      </w:tr>
      <w:tr w:rsidR="00BD278E" w:rsidRPr="009D4175" w:rsidTr="009D4175">
        <w:trPr>
          <w:trHeight w:val="31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DE4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Богдана </w:t>
            </w:r>
            <w:proofErr w:type="spellStart"/>
            <w:r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="00BD278E" w:rsidRPr="009D4175">
              <w:rPr>
                <w:rFonts w:ascii="Times New Roman" w:hAnsi="Times New Roman" w:cs="Times New Roman"/>
              </w:rPr>
              <w:t>, 3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149,10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149,10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BD278E" w:rsidRPr="009D4175" w:rsidTr="00DE460F">
        <w:trPr>
          <w:trHeight w:val="709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  <w:u w:val="single"/>
              </w:rPr>
            </w:pPr>
            <w:r w:rsidRPr="009D4175">
              <w:rPr>
                <w:rFonts w:ascii="Times New Roman" w:hAnsi="Times New Roman" w:cs="Times New Roman"/>
                <w:u w:val="single"/>
              </w:rPr>
              <w:t>https://drive.google.com/open?id=1shBrlDnBHHsW3_fQj81bldOWsvTSOOti</w:t>
            </w:r>
          </w:p>
        </w:tc>
      </w:tr>
      <w:tr w:rsidR="00DE460F" w:rsidRPr="009D4175" w:rsidTr="001640C6">
        <w:trPr>
          <w:trHeight w:val="510"/>
        </w:trPr>
        <w:tc>
          <w:tcPr>
            <w:tcW w:w="9345" w:type="dxa"/>
            <w:gridSpan w:val="2"/>
            <w:hideMark/>
          </w:tcPr>
          <w:p w:rsidR="00DE460F" w:rsidRPr="009D4175" w:rsidRDefault="00DE460F" w:rsidP="00DE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DE460F" w:rsidRPr="009D4175" w:rsidRDefault="00DE460F" w:rsidP="00DE4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із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9D417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так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6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lastRenderedPageBreak/>
              <w:t>Ступінь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9D41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9D41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9D41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343FB3" w:rsidRPr="009D4175" w:rsidTr="00671532">
        <w:trPr>
          <w:trHeight w:val="255"/>
        </w:trPr>
        <w:tc>
          <w:tcPr>
            <w:tcW w:w="9345" w:type="dxa"/>
            <w:gridSpan w:val="2"/>
            <w:hideMark/>
          </w:tcPr>
          <w:p w:rsidR="00343FB3" w:rsidRPr="009D4175" w:rsidRDefault="00343FB3" w:rsidP="00343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343FB3" w:rsidRPr="009D4175" w:rsidRDefault="00343FB3" w:rsidP="00343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343FB3" w:rsidRDefault="00343F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4412,77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або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175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може</w:t>
            </w:r>
            <w:proofErr w:type="spellEnd"/>
            <w:proofErr w:type="gramEnd"/>
            <w:r w:rsidRPr="009D417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абз</w:t>
            </w:r>
            <w:proofErr w:type="spellEnd"/>
            <w:r w:rsidRPr="009D4175">
              <w:rPr>
                <w:rFonts w:ascii="Times New Roman" w:hAnsi="Times New Roman" w:cs="Times New Roman"/>
              </w:rPr>
              <w:t>. 10 п. 29 Порядку</w:t>
            </w:r>
          </w:p>
        </w:tc>
      </w:tr>
      <w:tr w:rsidR="00BD278E" w:rsidRPr="009D4175" w:rsidTr="009D4175">
        <w:trPr>
          <w:trHeight w:val="105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щодо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522" w:type="dxa"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</w:t>
            </w:r>
          </w:p>
        </w:tc>
      </w:tr>
      <w:tr w:rsidR="00BD278E" w:rsidRPr="009D4175" w:rsidTr="009D4175">
        <w:trPr>
          <w:trHeight w:val="76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522" w:type="dxa"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</w:t>
            </w:r>
          </w:p>
        </w:tc>
      </w:tr>
      <w:tr w:rsidR="00BD278E" w:rsidRPr="009D4175" w:rsidTr="009D4175">
        <w:trPr>
          <w:trHeight w:val="255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може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крім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груп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груп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із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груп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може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із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lastRenderedPageBreak/>
              <w:t>Наявність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522" w:type="dxa"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 w:rsidP="00BD278E">
            <w:pPr>
              <w:rPr>
                <w:rFonts w:ascii="Times New Roman" w:hAnsi="Times New Roman" w:cs="Times New Roman"/>
                <w:u w:val="single"/>
              </w:rPr>
            </w:pPr>
            <w:r w:rsidRPr="009D4175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BD278E" w:rsidRPr="009D4175" w:rsidTr="009D4175">
        <w:trPr>
          <w:trHeight w:val="204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BD278E" w:rsidRPr="009D4175" w:rsidTr="009D4175">
        <w:trPr>
          <w:trHeight w:val="76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осіб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0432612895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осіб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0674322378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осіб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2dprz@i.ua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осіб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birkoff08@ukr.net</w:t>
            </w:r>
          </w:p>
        </w:tc>
      </w:tr>
      <w:tr w:rsidR="0012193B" w:rsidRPr="009D4175" w:rsidTr="00DD71DD">
        <w:trPr>
          <w:trHeight w:val="255"/>
        </w:trPr>
        <w:tc>
          <w:tcPr>
            <w:tcW w:w="9345" w:type="dxa"/>
            <w:gridSpan w:val="2"/>
            <w:hideMark/>
          </w:tcPr>
          <w:p w:rsidR="0012193B" w:rsidRPr="009D4175" w:rsidRDefault="0012193B" w:rsidP="0012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12193B" w:rsidRPr="009D4175" w:rsidRDefault="0012193B" w:rsidP="00121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78E" w:rsidRPr="009D4175" w:rsidTr="009D4175">
        <w:trPr>
          <w:trHeight w:val="102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Д</w:t>
            </w:r>
            <w:r w:rsidR="0012193B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="0012193B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12193B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="0012193B">
              <w:rPr>
                <w:rFonts w:ascii="Times New Roman" w:hAnsi="Times New Roman" w:cs="Times New Roman"/>
              </w:rPr>
              <w:t>травня</w:t>
            </w:r>
            <w:proofErr w:type="spellEnd"/>
            <w:r w:rsidR="0012193B">
              <w:rPr>
                <w:rFonts w:ascii="Times New Roman" w:hAnsi="Times New Roman" w:cs="Times New Roman"/>
              </w:rPr>
              <w:t xml:space="preserve"> 2021</w:t>
            </w:r>
            <w:r w:rsidRPr="009D4175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>.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BD278E" w:rsidRPr="009D4175" w:rsidTr="009D4175">
        <w:trPr>
          <w:trHeight w:val="102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 w:rsidP="0012193B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 </w:t>
            </w:r>
            <w:r w:rsidR="0012193B">
              <w:rPr>
                <w:rFonts w:ascii="Times New Roman" w:hAnsi="Times New Roman" w:cs="Times New Roman"/>
                <w:lang w:val="uk-UA"/>
              </w:rPr>
              <w:t xml:space="preserve">19 травня 2021 </w:t>
            </w:r>
            <w:r w:rsidRPr="009D4175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під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noWrap/>
            <w:hideMark/>
          </w:tcPr>
          <w:p w:rsidR="00BD278E" w:rsidRPr="009D4175" w:rsidRDefault="00D2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44,13</w:t>
            </w:r>
            <w:bookmarkStart w:id="0" w:name="_GoBack"/>
            <w:bookmarkEnd w:id="0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343FB3" w:rsidRDefault="00343F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2206,38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lastRenderedPageBreak/>
              <w:t>Розмір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343FB3" w:rsidRDefault="00343F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17651,08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600</w:t>
            </w:r>
          </w:p>
        </w:tc>
      </w:tr>
      <w:tr w:rsidR="00BD278E" w:rsidRPr="009D4175" w:rsidTr="009D4175">
        <w:trPr>
          <w:trHeight w:val="76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D27D25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BD278E" w:rsidRPr="009D4175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BD278E" w:rsidRPr="009D4175" w:rsidTr="0012193B">
        <w:trPr>
          <w:trHeight w:val="2484"/>
        </w:trPr>
        <w:tc>
          <w:tcPr>
            <w:tcW w:w="3823" w:type="dxa"/>
            <w:hideMark/>
          </w:tcPr>
          <w:p w:rsidR="0012193B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її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522" w:type="dxa"/>
            <w:hideMark/>
          </w:tcPr>
          <w:p w:rsidR="0012193B" w:rsidRPr="0012193B" w:rsidRDefault="0012193B" w:rsidP="0012193B">
            <w:pPr>
              <w:rPr>
                <w:rFonts w:ascii="Times New Roman" w:hAnsi="Times New Roman" w:cs="Times New Roman"/>
              </w:rPr>
            </w:pPr>
            <w:r w:rsidRPr="001219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12193B">
              <w:rPr>
                <w:rFonts w:ascii="Times New Roman" w:hAnsi="Times New Roman" w:cs="Times New Roman"/>
              </w:rPr>
              <w:t>:</w:t>
            </w:r>
            <w:r w:rsidRPr="0012193B">
              <w:rPr>
                <w:rFonts w:ascii="Times New Roman" w:hAnsi="Times New Roman" w:cs="Times New Roman"/>
              </w:rPr>
              <w:br/>
            </w:r>
            <w:proofErr w:type="spellStart"/>
            <w:r w:rsidRPr="0012193B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2193B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12193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2193B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2193B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областях </w:t>
            </w:r>
            <w:r w:rsidRPr="0012193B">
              <w:rPr>
                <w:rFonts w:ascii="Times New Roman" w:hAnsi="Times New Roman" w:cs="Times New Roman"/>
              </w:rPr>
              <w:br/>
            </w:r>
            <w:proofErr w:type="spellStart"/>
            <w:r w:rsidRPr="0012193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2193B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2193B">
              <w:rPr>
                <w:rFonts w:ascii="Times New Roman" w:hAnsi="Times New Roman" w:cs="Times New Roman"/>
              </w:rPr>
              <w:t>)</w:t>
            </w:r>
            <w:r w:rsidRPr="0012193B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12193B">
              <w:rPr>
                <w:rFonts w:ascii="Times New Roman" w:hAnsi="Times New Roman" w:cs="Times New Roman"/>
              </w:rPr>
              <w:t>: ДКСУ  Код ЄДРПОУ 42964094</w:t>
            </w:r>
            <w:r w:rsidRPr="0012193B">
              <w:rPr>
                <w:rFonts w:ascii="Times New Roman" w:hAnsi="Times New Roman" w:cs="Times New Roman"/>
              </w:rPr>
              <w:br/>
            </w:r>
            <w:proofErr w:type="spellStart"/>
            <w:r w:rsidRPr="0012193B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12193B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93B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12193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2193B">
              <w:rPr>
                <w:rFonts w:ascii="Times New Roman" w:hAnsi="Times New Roman" w:cs="Times New Roman"/>
              </w:rPr>
              <w:t>що</w:t>
            </w:r>
            <w:proofErr w:type="spellEnd"/>
            <w:r w:rsidRPr="0012193B">
              <w:rPr>
                <w:rFonts w:ascii="Times New Roman" w:hAnsi="Times New Roman" w:cs="Times New Roman"/>
              </w:rPr>
              <w:t>)</w:t>
            </w:r>
          </w:p>
          <w:p w:rsidR="0012193B" w:rsidRPr="009D4175" w:rsidRDefault="0012193B">
            <w:pPr>
              <w:rPr>
                <w:rFonts w:ascii="Times New Roman" w:hAnsi="Times New Roman" w:cs="Times New Roman"/>
              </w:rPr>
            </w:pPr>
          </w:p>
        </w:tc>
      </w:tr>
      <w:tr w:rsidR="00BD278E" w:rsidRPr="009D4175" w:rsidTr="009D4175">
        <w:trPr>
          <w:trHeight w:val="102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D27D25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BD278E" w:rsidRPr="009D4175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9D4175" w:rsidRPr="009D4175" w:rsidTr="009D4175">
        <w:trPr>
          <w:trHeight w:val="367"/>
        </w:trPr>
        <w:tc>
          <w:tcPr>
            <w:tcW w:w="9345" w:type="dxa"/>
            <w:gridSpan w:val="2"/>
            <w:hideMark/>
          </w:tcPr>
          <w:p w:rsidR="009D4175" w:rsidRPr="009D4175" w:rsidRDefault="009D4175" w:rsidP="009D4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9D4175" w:rsidRPr="009D4175" w:rsidRDefault="009D4175" w:rsidP="009D4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522" w:type="dxa"/>
            <w:hideMark/>
          </w:tcPr>
          <w:p w:rsidR="00BD278E" w:rsidRPr="0012193B" w:rsidRDefault="001219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Компенсація чинному орендарю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2400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його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BD278E" w:rsidRPr="009D4175" w:rsidTr="009D4175">
        <w:trPr>
          <w:trHeight w:val="76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її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або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  <w:u w:val="single"/>
              </w:rPr>
            </w:pPr>
            <w:r w:rsidRPr="009D4175">
              <w:rPr>
                <w:rFonts w:ascii="Times New Roman" w:hAnsi="Times New Roman" w:cs="Times New Roman"/>
                <w:u w:val="single"/>
              </w:rPr>
              <w:t>https://drive.google.com/open?id=1i_XIVOyr54BrkUy36yhYSKP9IyueVXm3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9D41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Інші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0</w:t>
            </w:r>
          </w:p>
        </w:tc>
      </w:tr>
      <w:tr w:rsidR="00BD278E" w:rsidRPr="009D4175" w:rsidTr="009D4175">
        <w:trPr>
          <w:trHeight w:val="255"/>
        </w:trPr>
        <w:tc>
          <w:tcPr>
            <w:tcW w:w="9345" w:type="dxa"/>
            <w:gridSpan w:val="2"/>
            <w:hideMark/>
          </w:tcPr>
          <w:p w:rsidR="00BD278E" w:rsidRPr="009D4175" w:rsidRDefault="00BD278E" w:rsidP="009D4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D278E" w:rsidRPr="009D4175" w:rsidTr="009D4175">
        <w:trPr>
          <w:trHeight w:val="510"/>
        </w:trPr>
        <w:tc>
          <w:tcPr>
            <w:tcW w:w="3823" w:type="dxa"/>
            <w:hideMark/>
          </w:tcPr>
          <w:p w:rsidR="00BD278E" w:rsidRPr="009D4175" w:rsidRDefault="00D27D25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718665470" w:history="1">
              <w:r w:rsidR="00BD278E" w:rsidRPr="009D4175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ОГОЛОШЕННЯ про передачу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щодо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орендодавцем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прийнято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дії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9345" w:type="dxa"/>
            <w:gridSpan w:val="2"/>
            <w:hideMark/>
          </w:tcPr>
          <w:p w:rsidR="00BD278E" w:rsidRPr="009D4175" w:rsidRDefault="00BD278E" w:rsidP="009D4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Квасюк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26-апр-2011</w:t>
            </w:r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9D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роки 364 </w:t>
            </w:r>
            <w:proofErr w:type="spellStart"/>
            <w:r w:rsidR="00BD278E" w:rsidRPr="009D4175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BD278E" w:rsidRPr="009D4175" w:rsidTr="009D4175">
        <w:trPr>
          <w:trHeight w:val="25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>20-апр-2021</w:t>
            </w:r>
          </w:p>
        </w:tc>
      </w:tr>
      <w:tr w:rsidR="00BD278E" w:rsidRPr="009D4175" w:rsidTr="009D4175">
        <w:trPr>
          <w:trHeight w:val="1530"/>
        </w:trPr>
        <w:tc>
          <w:tcPr>
            <w:tcW w:w="3823" w:type="dxa"/>
            <w:noWrap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FB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переважне</w:t>
            </w:r>
            <w:proofErr w:type="spellEnd"/>
            <w:r w:rsidRPr="00343FB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 право</w:t>
            </w:r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це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днів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через оператора электронного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через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він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подав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цінову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пропозицію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подає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Наказом Фонду державного майна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20.08.2020 №1411, разом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підписаним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протоколом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>.</w:t>
            </w:r>
          </w:p>
        </w:tc>
      </w:tr>
      <w:tr w:rsidR="00BD278E" w:rsidRPr="009D4175" w:rsidTr="009D4175">
        <w:trPr>
          <w:trHeight w:val="2805"/>
        </w:trPr>
        <w:tc>
          <w:tcPr>
            <w:tcW w:w="3823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r w:rsidRPr="009D4175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було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5522" w:type="dxa"/>
            <w:hideMark/>
          </w:tcPr>
          <w:p w:rsidR="00BD278E" w:rsidRPr="009D4175" w:rsidRDefault="00BD278E">
            <w:pPr>
              <w:rPr>
                <w:rFonts w:ascii="Times New Roman" w:hAnsi="Times New Roman" w:cs="Times New Roman"/>
              </w:rPr>
            </w:pPr>
            <w:proofErr w:type="spellStart"/>
            <w:r w:rsidRPr="009D4175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своє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дати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разі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майна.</w:t>
            </w:r>
            <w:r w:rsidRPr="009D4175">
              <w:rPr>
                <w:rFonts w:ascii="Times New Roman" w:hAnsi="Times New Roman" w:cs="Times New Roman"/>
              </w:rPr>
              <w:br/>
            </w:r>
            <w:r w:rsidRPr="009D4175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разі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що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крім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75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9D4175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9F1840" w:rsidRPr="009D4175" w:rsidRDefault="009F1840">
      <w:pPr>
        <w:rPr>
          <w:rFonts w:ascii="Times New Roman" w:hAnsi="Times New Roman" w:cs="Times New Roman"/>
        </w:rPr>
      </w:pPr>
    </w:p>
    <w:sectPr w:rsidR="009F1840" w:rsidRPr="009D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1"/>
    <w:rsid w:val="0012193B"/>
    <w:rsid w:val="00343FB3"/>
    <w:rsid w:val="005708FC"/>
    <w:rsid w:val="009D4175"/>
    <w:rsid w:val="009F1840"/>
    <w:rsid w:val="00B66161"/>
    <w:rsid w:val="00BD278E"/>
    <w:rsid w:val="00D27D25"/>
    <w:rsid w:val="00DD2A4B"/>
    <w:rsid w:val="00D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7874"/>
  <w15:chartTrackingRefBased/>
  <w15:docId w15:val="{E2A4C633-BF76-4FF7-9D69-008A259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8E"/>
    <w:rPr>
      <w:color w:val="1155CC"/>
      <w:u w:val="single"/>
    </w:rPr>
  </w:style>
  <w:style w:type="table" w:styleId="a4">
    <w:name w:val="Table Grid"/>
    <w:basedOn w:val="a1"/>
    <w:uiPriority w:val="39"/>
    <w:rsid w:val="00BD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2021-04-29T07:29:00Z</cp:lastPrinted>
  <dcterms:created xsi:type="dcterms:W3CDTF">2021-04-29T06:50:00Z</dcterms:created>
  <dcterms:modified xsi:type="dcterms:W3CDTF">2021-04-29T09:11:00Z</dcterms:modified>
</cp:coreProperties>
</file>