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E2" w:rsidRPr="007F01D7" w:rsidRDefault="000822E2" w:rsidP="000822E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F01D7">
        <w:rPr>
          <w:rFonts w:ascii="Times New Roman" w:hAnsi="Times New Roman"/>
          <w:sz w:val="24"/>
          <w:szCs w:val="24"/>
          <w:lang w:val="uk-UA"/>
        </w:rPr>
        <w:t>Оголошення з продажу: Автомобіль ВАЗ 2121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9"/>
        <w:gridCol w:w="6379"/>
      </w:tblGrid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Характеристики предмету продажу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Замовник торгів (продавець)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Комунальне некомерційне підприємство "3-я міська клінічна лікарня м. Львова"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Контакті дані Замовника для надання додаткової інформації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Федор Степан Ігорович</w:t>
            </w: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0962603124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предмету продажу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 3110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предмет продажу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Автомобіль 1 одиниця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Власник майна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Комунальне некомерційне підприємство "3-я міська клінічна лікарня м. Львова"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Кількісно-якісні характеристики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одиниця,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бензин,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чорний</w:t>
            </w: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315865</w:t>
            </w: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км.</w:t>
            </w:r>
          </w:p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предмету продажу: </w:t>
            </w:r>
          </w:p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2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Автомобіль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на ходу (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ремонту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вузлів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агрегатів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). 2.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Двигун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відновлюваного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ремонту,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сальників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клапанів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ременів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ГРМ. В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двигун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споживав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масло,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сліди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підтікання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мастила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. 3.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Трансмісія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задовільний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стан. 4.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Ходова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зношені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гумовотехнічні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вироби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сайлентблоки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амортизатори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шарові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потребують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. 5.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Кермове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підвищений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люфт повороту керма. 6.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Гальмівна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система у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зв'язку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граничним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зношенням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потребують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гальмівні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колодки та диски. 7.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Електрообладнання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- пучки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електропроводки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пошкоджені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акумуляторна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батарея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сульфітацію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пластин,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. 8. Кузов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автомобіля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шаром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фарби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кузов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сліди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корозійних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саме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- арок,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передніх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2E2">
              <w:rPr>
                <w:rFonts w:ascii="Times New Roman" w:hAnsi="Times New Roman"/>
                <w:sz w:val="24"/>
                <w:szCs w:val="24"/>
              </w:rPr>
              <w:t>крил,задніх</w:t>
            </w:r>
            <w:proofErr w:type="spellEnd"/>
            <w:proofErr w:type="gram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боковин, дверей, панелей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підлоги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кузова,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коробчастих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жорсткості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лонжеронів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поперечин,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підсилювачів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підмоторної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рами).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Зазнали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рихтовка та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місцеве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пофарбування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передні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праві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ліві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двері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переднє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праве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крило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панель. 9. Салон -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оббивка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салону та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сидінь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забруднені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пошкоджені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. 10.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Лакофарбне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фарбування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. 11.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Скло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потертості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тріщини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всій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2E2">
              <w:rPr>
                <w:rFonts w:ascii="Times New Roman" w:hAnsi="Times New Roman"/>
                <w:sz w:val="24"/>
                <w:szCs w:val="24"/>
              </w:rPr>
              <w:t>площині</w:t>
            </w:r>
            <w:proofErr w:type="spellEnd"/>
            <w:r w:rsidRPr="000822E2">
              <w:rPr>
                <w:rFonts w:ascii="Times New Roman" w:hAnsi="Times New Roman"/>
                <w:sz w:val="24"/>
                <w:szCs w:val="24"/>
              </w:rPr>
              <w:t>, сколки.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Початкова ціна реалізації</w:t>
            </w:r>
          </w:p>
        </w:tc>
        <w:tc>
          <w:tcPr>
            <w:tcW w:w="6379" w:type="dxa"/>
            <w:shd w:val="clear" w:color="auto" w:fill="auto"/>
          </w:tcPr>
          <w:p w:rsidR="000822E2" w:rsidRPr="006A0A64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82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26 880,00 грн.</w:t>
            </w:r>
            <w:bookmarkStart w:id="0" w:name="_GoBack"/>
            <w:bookmarkEnd w:id="0"/>
            <w:r w:rsidRPr="006A0A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грн. (сорок тисяч вісімсот вісімдесят грн. 00 коп.)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Гарантійний внесок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5% від початкової ціни реалізації (замовник самостійно визначає суму гарантійного внеску у зазначених межах)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Мінімальний крок аукціону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1% від початкової ціни реалізації (замовник самостійно визначає суму мінімального кроку в зазначених межах). Крок – це мінімальна ставка на яку у ході аукціону учасники підніматимуть свою ціну за лот 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аукціону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аукціон на підвищення ціни 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участі в аукціоні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у електронній торговій системі </w:t>
            </w:r>
            <w:proofErr w:type="spellStart"/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roПродажі</w:t>
            </w:r>
            <w:proofErr w:type="spellEnd"/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електронний майданчик.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прийняти участь в аукціоні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Звернутись до оператора електронних торгів – електронного майданчика для уточнення технічних особливостей використання майданчика. 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Умови проведення конкурсу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Конкурс проводиться у формі електронних торгів на підставі Регламенту роботи електронної торгової системи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учасників щодо надання підтверджуючих документів до проведення аукціону (на етапі подання закритих цінових пропозицій) </w:t>
            </w: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або протягом 3-х календарних днів після формування протоколу електронних торгів 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Для участі в торгах, разом з наданням цінової пропозиції, Учасник має завантажити </w:t>
            </w:r>
            <w:proofErr w:type="spellStart"/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-копії наступних документів:</w:t>
            </w:r>
          </w:p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Юридичні особи та/або Фізичні особи – підприємці:</w:t>
            </w:r>
          </w:p>
          <w:p w:rsidR="000822E2" w:rsidRPr="007F01D7" w:rsidRDefault="000822E2" w:rsidP="000822E2">
            <w:pPr>
              <w:numPr>
                <w:ilvl w:val="0"/>
                <w:numId w:val="3"/>
              </w:numPr>
              <w:spacing w:after="0" w:line="240" w:lineRule="auto"/>
              <w:ind w:left="179" w:hanging="21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Статуту;</w:t>
            </w:r>
          </w:p>
          <w:p w:rsidR="000822E2" w:rsidRPr="007F01D7" w:rsidRDefault="000822E2" w:rsidP="000822E2">
            <w:pPr>
              <w:numPr>
                <w:ilvl w:val="0"/>
                <w:numId w:val="3"/>
              </w:numPr>
              <w:spacing w:after="0" w:line="240" w:lineRule="auto"/>
              <w:ind w:left="179" w:hanging="21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Витягу з ЄДРПОУ або Єдиного державного реєстру юридичних осіб, фізичних осіб-підприємців та громадських формувань;</w:t>
            </w:r>
          </w:p>
          <w:p w:rsidR="000822E2" w:rsidRPr="007F01D7" w:rsidRDefault="000822E2" w:rsidP="000822E2">
            <w:pPr>
              <w:numPr>
                <w:ilvl w:val="0"/>
                <w:numId w:val="3"/>
              </w:numPr>
              <w:spacing w:after="0" w:line="240" w:lineRule="auto"/>
              <w:ind w:left="179" w:hanging="21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Витягу з реєстру платників ПДВ або свідоцтва про реєстрацію платника ПДВ (у разі якщо Учасник є платником ПДВ);</w:t>
            </w:r>
          </w:p>
          <w:p w:rsidR="000822E2" w:rsidRPr="007F01D7" w:rsidRDefault="000822E2" w:rsidP="000822E2">
            <w:pPr>
              <w:numPr>
                <w:ilvl w:val="0"/>
                <w:numId w:val="3"/>
              </w:numPr>
              <w:spacing w:after="0" w:line="240" w:lineRule="auto"/>
              <w:ind w:left="179" w:hanging="21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Документів, що підтверджують повноваження особи / осіб на підписання документів, від імені юридичної особи, що приймає участь у торгах.</w:t>
            </w:r>
          </w:p>
          <w:p w:rsidR="000822E2" w:rsidRPr="007F01D7" w:rsidRDefault="000822E2" w:rsidP="000822E2">
            <w:pPr>
              <w:numPr>
                <w:ilvl w:val="0"/>
                <w:numId w:val="3"/>
              </w:numPr>
              <w:spacing w:after="0" w:line="240" w:lineRule="auto"/>
              <w:ind w:left="179" w:hanging="21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Листа в довільній формі з реквізитами Учасника (на фірмовому бланку).</w:t>
            </w:r>
          </w:p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822E2" w:rsidRPr="007F01D7" w:rsidRDefault="000822E2" w:rsidP="004D58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копії документів, зазначених в п.1-4, надаються Учасником лише у разі, якщо такі документи передбачені для Учасника чинним законодавством України.</w:t>
            </w:r>
          </w:p>
          <w:p w:rsidR="000822E2" w:rsidRPr="007F01D7" w:rsidRDefault="000822E2" w:rsidP="004D58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0822E2" w:rsidRPr="007F01D7" w:rsidRDefault="000822E2" w:rsidP="004D58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Приватні особи:</w:t>
            </w:r>
          </w:p>
          <w:p w:rsidR="000822E2" w:rsidRPr="007F01D7" w:rsidRDefault="000822E2" w:rsidP="004D58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випадку, якщо Учасником торгів виступає фізична особа, що не є суб’єктом господарювання, для участі в торгах  така особа надає наступні документи:</w:t>
            </w:r>
          </w:p>
          <w:p w:rsidR="000822E2" w:rsidRPr="007F01D7" w:rsidRDefault="000822E2" w:rsidP="000822E2">
            <w:pPr>
              <w:numPr>
                <w:ilvl w:val="0"/>
                <w:numId w:val="4"/>
              </w:numPr>
              <w:spacing w:after="0" w:line="240" w:lineRule="auto"/>
              <w:ind w:left="179" w:hanging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Лист з реквізитами Учасника, а саме П.І.Б., контактний номер телефону </w:t>
            </w:r>
          </w:p>
          <w:p w:rsidR="000822E2" w:rsidRPr="007F01D7" w:rsidRDefault="000822E2" w:rsidP="000822E2">
            <w:pPr>
              <w:numPr>
                <w:ilvl w:val="0"/>
                <w:numId w:val="4"/>
              </w:numPr>
              <w:spacing w:after="0" w:line="240" w:lineRule="auto"/>
              <w:ind w:left="179" w:hanging="14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паспорт; довідка про присвоєння ідентифікаційного номеру або облікової картки платника податків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Запланована дата аукціону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Аукціон має відбутись щонайменше через 7 календарних днів від дня наступного за днем опублікування оголошення (див. інформацію про аукціон). 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Мінімально необхідна кількість учасників для аукціону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Зобов’язання учасника (переможця) аукціону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п. 7.29 Регламенту учасник переможець зобов’язаний: </w:t>
            </w:r>
          </w:p>
          <w:p w:rsidR="000822E2" w:rsidRPr="007F01D7" w:rsidRDefault="000822E2" w:rsidP="004D58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9" w:firstLine="18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>Виконати умови оголошення щодо надання підтверджуючих документів</w:t>
            </w:r>
          </w:p>
          <w:p w:rsidR="000822E2" w:rsidRPr="007F01D7" w:rsidRDefault="000822E2" w:rsidP="004D58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9" w:firstLine="18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Підписати протокол електронних торгів </w:t>
            </w:r>
          </w:p>
          <w:p w:rsidR="000822E2" w:rsidRPr="007F01D7" w:rsidRDefault="000822E2" w:rsidP="004D581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9" w:firstLine="18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Укласти угоду за результатами аукціону та здійснити розрахунки за угодою </w:t>
            </w:r>
          </w:p>
        </w:tc>
      </w:tr>
      <w:tr w:rsidR="000822E2" w:rsidRPr="007F01D7" w:rsidTr="004D5811">
        <w:tc>
          <w:tcPr>
            <w:tcW w:w="562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54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Укладення угоди та розрахунки за результатом аукціону </w:t>
            </w:r>
          </w:p>
        </w:tc>
        <w:tc>
          <w:tcPr>
            <w:tcW w:w="6379" w:type="dxa"/>
            <w:shd w:val="clear" w:color="auto" w:fill="auto"/>
          </w:tcPr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Угода укладається з переможцем торгів протягом 18-ти робочих днів з моменту формування протоколу електронних торгів та у цей же термін учасником має бути сплачена повна сума договору. </w:t>
            </w:r>
          </w:p>
          <w:p w:rsidR="000822E2" w:rsidRPr="007F01D7" w:rsidRDefault="000822E2" w:rsidP="004D5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Замовник (продавець) публікує договір в електронній торговій системі через майданчик.</w:t>
            </w:r>
          </w:p>
        </w:tc>
      </w:tr>
    </w:tbl>
    <w:p w:rsidR="000822E2" w:rsidRPr="007F01D7" w:rsidRDefault="000822E2" w:rsidP="000822E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22E2" w:rsidRPr="007F01D7" w:rsidRDefault="000822E2" w:rsidP="000822E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F01D7">
        <w:rPr>
          <w:rFonts w:ascii="Times New Roman" w:hAnsi="Times New Roman"/>
          <w:sz w:val="24"/>
          <w:szCs w:val="24"/>
          <w:lang w:val="uk-UA"/>
        </w:rPr>
        <w:t>Всі витрати по переоформленню автомобіля сплачує покупець.</w:t>
      </w:r>
    </w:p>
    <w:p w:rsidR="000822E2" w:rsidRPr="007F01D7" w:rsidRDefault="000822E2" w:rsidP="000822E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F01D7">
        <w:rPr>
          <w:rFonts w:ascii="Times New Roman" w:hAnsi="Times New Roman"/>
          <w:i/>
          <w:sz w:val="24"/>
          <w:szCs w:val="24"/>
          <w:lang w:val="uk-UA"/>
        </w:rPr>
        <w:t xml:space="preserve">До оголошення з проведення торгів додані наступні документи: </w:t>
      </w:r>
    </w:p>
    <w:p w:rsidR="000822E2" w:rsidRPr="007F01D7" w:rsidRDefault="000822E2" w:rsidP="000822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F01D7">
        <w:rPr>
          <w:rFonts w:ascii="Times New Roman" w:hAnsi="Times New Roman"/>
          <w:i/>
          <w:sz w:val="24"/>
          <w:szCs w:val="24"/>
          <w:lang w:val="uk-UA"/>
        </w:rPr>
        <w:t xml:space="preserve">Типовий договір, який буде укладено з переможцем торгів за результатами електронного аукціону </w:t>
      </w:r>
    </w:p>
    <w:p w:rsidR="000822E2" w:rsidRPr="007F01D7" w:rsidRDefault="000822E2" w:rsidP="000822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F01D7">
        <w:rPr>
          <w:rFonts w:ascii="Times New Roman" w:hAnsi="Times New Roman"/>
          <w:i/>
          <w:sz w:val="24"/>
          <w:szCs w:val="24"/>
          <w:lang w:val="uk-UA"/>
        </w:rPr>
        <w:t>Фотознімки майна, що пропонується до продажу</w:t>
      </w:r>
    </w:p>
    <w:p w:rsidR="000822E2" w:rsidRPr="007F01D7" w:rsidRDefault="000822E2" w:rsidP="000822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F01D7">
        <w:rPr>
          <w:rFonts w:ascii="Times New Roman" w:hAnsi="Times New Roman"/>
          <w:i/>
          <w:sz w:val="24"/>
          <w:szCs w:val="24"/>
          <w:lang w:val="uk-UA"/>
        </w:rPr>
        <w:t>Документи із зазначенням характеристик майна, що виставляється на продаж.</w:t>
      </w:r>
    </w:p>
    <w:p w:rsidR="000822E2" w:rsidRDefault="000822E2"/>
    <w:sectPr w:rsidR="000822E2" w:rsidSect="001D4D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136"/>
    <w:multiLevelType w:val="hybridMultilevel"/>
    <w:tmpl w:val="237829EA"/>
    <w:lvl w:ilvl="0" w:tplc="FA32F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70694"/>
    <w:multiLevelType w:val="hybridMultilevel"/>
    <w:tmpl w:val="247E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5EA"/>
    <w:multiLevelType w:val="hybridMultilevel"/>
    <w:tmpl w:val="56569C0C"/>
    <w:lvl w:ilvl="0" w:tplc="15B89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5E6"/>
    <w:multiLevelType w:val="hybridMultilevel"/>
    <w:tmpl w:val="2AC4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2"/>
    <w:rsid w:val="000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208D"/>
  <w15:chartTrackingRefBased/>
  <w15:docId w15:val="{72C2C143-F447-474F-8668-1900F23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E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2021-06-11T07:35:00Z</dcterms:created>
  <dcterms:modified xsi:type="dcterms:W3CDTF">2021-06-11T07:39:00Z</dcterms:modified>
</cp:coreProperties>
</file>