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9DC9" w14:textId="73FF97E5" w:rsidR="007C3A13" w:rsidRDefault="007C3A13" w:rsidP="007C3A13">
      <w:pPr>
        <w:ind w:firstLine="4536"/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3684"/>
      </w:tblGrid>
      <w:tr w:rsidR="005707C9" w:rsidRPr="005707C9" w14:paraId="3AF8A7D8" w14:textId="77777777" w:rsidTr="007C3A1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E33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5707C9" w:rsidRPr="005707C9" w14:paraId="4BB23597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BDA64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60EC3" w14:textId="11E5466B" w:rsidR="005707C9" w:rsidRPr="005176C4" w:rsidRDefault="005707C9" w:rsidP="0057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707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7239</w:t>
            </w:r>
            <w:r w:rsidR="00517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5707C9" w:rsidRPr="004B197A" w14:paraId="578BD9C4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CE48" w14:textId="77777777" w:rsidR="005707C9" w:rsidRPr="00C35B3D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C4D43" w14:textId="1439D100" w:rsidR="005707C9" w:rsidRPr="00053953" w:rsidRDefault="00E95266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 державного нерухомого майна – </w:t>
            </w:r>
            <w:r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нежитлових приміщень 7-го поверху пасажирського комплексу Одеського морського вокзалу (</w:t>
            </w:r>
            <w:proofErr w:type="spellStart"/>
            <w:r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 073000), площею 43,8 </w:t>
            </w:r>
            <w:proofErr w:type="spellStart"/>
            <w:r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="00C6507D"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="00C6507D"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="00053953" w:rsidRPr="00BA0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Одеса, вул. Приморська, 6, що обліковуються на балансі </w:t>
            </w:r>
            <w:r w:rsidR="00053953" w:rsidRPr="00BA0D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</w:t>
            </w:r>
            <w:r w:rsidR="00AA5A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ої</w:t>
            </w:r>
            <w:r w:rsidR="00053953" w:rsidRPr="00BA0D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філі</w:t>
            </w:r>
            <w:r w:rsidR="00AA5A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</w:t>
            </w:r>
            <w:r w:rsidR="00053953" w:rsidRPr="00BA0D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Державного підприємства “Адміністрація морських портів України” (Адміністрація Одеського морського порту)</w:t>
            </w:r>
          </w:p>
        </w:tc>
      </w:tr>
      <w:tr w:rsidR="005707C9" w:rsidRPr="005707C9" w14:paraId="2B6E4D77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269F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C6340" w14:textId="77777777" w:rsidR="005707C9" w:rsidRPr="00053953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Одеській</w:t>
            </w:r>
            <w:proofErr w:type="spellEnd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5707C9" w:rsidRPr="005707C9" w14:paraId="5AC9A87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9E0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5D8A" w14:textId="1C0D7B14" w:rsidR="005707C9" w:rsidRPr="00053953" w:rsidRDefault="00E95266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65048, м. Одеса, вул. Велика </w:t>
            </w:r>
            <w:proofErr w:type="spellStart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Арнаутська</w:t>
            </w:r>
            <w:proofErr w:type="spellEnd"/>
            <w:r w:rsidRPr="000539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15</w:t>
            </w:r>
          </w:p>
        </w:tc>
      </w:tr>
      <w:tr w:rsidR="005707C9" w:rsidRPr="005707C9" w14:paraId="46FD58A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2032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FC20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морських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морського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порту)</w:t>
            </w:r>
          </w:p>
        </w:tc>
      </w:tr>
      <w:tr w:rsidR="005707C9" w:rsidRPr="005707C9" w14:paraId="4C7BF7A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FA45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F652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38728457</w:t>
            </w:r>
          </w:p>
        </w:tc>
      </w:tr>
      <w:tr w:rsidR="005707C9" w:rsidRPr="005707C9" w14:paraId="55BD97E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DDD9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AF8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65026, м. Одеса,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</w:tr>
      <w:tr w:rsidR="005707C9" w:rsidRPr="005707C9" w14:paraId="05C6EA5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BBE4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37CE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771802</w:t>
            </w:r>
          </w:p>
        </w:tc>
      </w:tr>
      <w:tr w:rsidR="005707C9" w:rsidRPr="005707C9" w14:paraId="429A56C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99394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6B8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707C9" w:rsidRPr="005707C9" w14:paraId="5A7694E5" w14:textId="77777777" w:rsidTr="004B197A">
        <w:trPr>
          <w:trHeight w:val="1050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12B6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BC179" w14:textId="77777777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5707C9" w:rsidRPr="005707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https://drive.google.com/open?id=1Av2hEyhc98tRG-Y7QsnRM-RuX-FBnOON</w:t>
              </w:r>
            </w:hyperlink>
          </w:p>
        </w:tc>
      </w:tr>
      <w:tr w:rsidR="005707C9" w:rsidRPr="005707C9" w14:paraId="2BB2B351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AF68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04AA4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5707C9" w:rsidRPr="005707C9" w14:paraId="4E161D86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6001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D7D9D" w14:textId="41117822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D6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7C9" w:rsidRPr="005707C9" w14:paraId="75726E9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890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19CBA" w14:textId="20107D40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D6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7C9" w:rsidRPr="005707C9" w14:paraId="5B4CD908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D52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E0E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5707C9" w:rsidRPr="005707C9" w14:paraId="5B3481FC" w14:textId="77777777" w:rsidTr="004B197A">
        <w:trPr>
          <w:trHeight w:val="70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F920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805B5" w14:textId="77777777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5707C9" w:rsidRPr="005707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https://drive.google.com/open?id=19f7qFBPKqGyeM1sqOmOIEKfgarfncIt6</w:t>
              </w:r>
            </w:hyperlink>
          </w:p>
        </w:tc>
      </w:tr>
      <w:tr w:rsidR="005707C9" w:rsidRPr="005707C9" w14:paraId="3D34090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B8002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8FF1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07C9" w:rsidRPr="005707C9" w14:paraId="671217A3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C5E5E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CEE6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707C9" w:rsidRPr="005707C9" w14:paraId="72AFEE8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1AB7F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D0B7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707C9" w:rsidRPr="005707C9" w14:paraId="37C2B31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5F14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F639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5707C9" w:rsidRPr="005707C9" w14:paraId="27248053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E1050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4B06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5707C9" w:rsidRPr="005707C9" w14:paraId="1B22440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BB56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A6A8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707C9" w:rsidRPr="005707C9" w14:paraId="1DD01251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94A2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F03DF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5707C9" w:rsidRPr="005707C9" w14:paraId="6FD51C70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B6B9E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C5D19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5707C9" w:rsidRPr="005707C9" w14:paraId="657D2F0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0E52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3FBB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58F16663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604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3A4B6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35B9292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1B72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850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5707C9" w:rsidRPr="005707C9" w14:paraId="1B0B674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D4E5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3DCF0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7350C462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C33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474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5E628D7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D50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E12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182B179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DDE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03E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1437F390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584C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4911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2EC06FD8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85F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7C5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613F183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F6B8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5E3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6BBA867E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29F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816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30F3F1C4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66FAE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533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0E52A68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C3F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FE94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707C9" w:rsidRPr="005707C9" w14:paraId="5B984770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678F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DA7DA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07C9" w:rsidRPr="005707C9" w14:paraId="68D7561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9722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DDDB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5707C9" w:rsidRPr="005707C9" w14:paraId="273FC15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9948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30EE1" w14:textId="7AEA77A1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5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  <w:r w:rsidR="0005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5707C9" w:rsidRPr="005707C9" w14:paraId="74372818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979D4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39594" w14:textId="4C2E1491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5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  <w:r w:rsidR="0005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5707C9" w:rsidRPr="005707C9" w14:paraId="28E4AE0A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A0BA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D7436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5707C9" w:rsidRPr="005707C9" w14:paraId="7C4E7BD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570E6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91B65" w14:textId="05D331C9" w:rsidR="005707C9" w:rsidRPr="00171DD8" w:rsidRDefault="00171DD8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5707C9" w:rsidRPr="005707C9" w14:paraId="498DBC05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2AE5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3BF5" w14:textId="0F73DC45" w:rsidR="005707C9" w:rsidRPr="00053953" w:rsidRDefault="0005395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5707C9" w:rsidRPr="005707C9" w14:paraId="602F3CC7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2E78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0C79" w14:textId="603A2B27" w:rsidR="005707C9" w:rsidRPr="00053953" w:rsidRDefault="0005395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5707C9" w:rsidRPr="005707C9" w14:paraId="2902C608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94C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909E" w14:textId="28667083" w:rsidR="005707C9" w:rsidRPr="00053953" w:rsidRDefault="0005395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5707C9" w:rsidRPr="005707C9" w14:paraId="3745BE67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3E27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3F75F" w14:textId="4672A434" w:rsidR="00053953" w:rsidRPr="00053953" w:rsidRDefault="00171DD8" w:rsidP="00171DD8">
            <w:pPr>
              <w:spacing w:before="120"/>
              <w:ind w:right="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нші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передбачені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Законами 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„Про державно-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партнерство”, „Про </w:t>
            </w:r>
            <w:proofErr w:type="spellStart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концесію</w:t>
            </w:r>
            <w:proofErr w:type="spellEnd"/>
            <w:r w:rsidR="00053953" w:rsidRPr="0005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”. </w:t>
            </w:r>
          </w:p>
          <w:p w14:paraId="4F959D5A" w14:textId="677DB2EF" w:rsidR="00053953" w:rsidRPr="00053953" w:rsidRDefault="00053953" w:rsidP="00171DD8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Строк  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proofErr w:type="gram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 становить не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5-ти</w:t>
            </w:r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та, в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передачі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концесію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пасажирського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комплексу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морського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порту,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передбачити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умову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C2551F" w14:textId="77777777" w:rsidR="00053953" w:rsidRPr="00053953" w:rsidRDefault="00053953" w:rsidP="00171DD8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Припинення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майна у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переможця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концесійного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(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концесієдавцем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протоколу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конкурсної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комісії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оформлено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висновок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найкращих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здійснення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концесії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передбачає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концесіонеру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експлуатацію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технічне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об’єктами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, з метою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концесійного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державної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484E6A" w14:textId="77777777" w:rsidR="00053953" w:rsidRPr="00053953" w:rsidRDefault="00053953" w:rsidP="00171DD8">
            <w:pPr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майна з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переможця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концесійного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конкурсу,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майно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повертається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робочих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днів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 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proofErr w:type="gram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концесієдавцем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протоколу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висновок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найкращих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передбачає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концесіонеру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метою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концесійного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об’єктів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права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власності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договір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43F535A3" w14:textId="77777777" w:rsidR="00053953" w:rsidRPr="00053953" w:rsidRDefault="00053953" w:rsidP="00171DD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9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Майно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вважається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повернутим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моменту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сторонами акта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приймання-передачі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підписати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акт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приймання-передачі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робочих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днів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дня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концесієдавцем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протоколу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висновок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найкращих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сторонами акта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приймання-передачі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об'єкт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вважається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повернутим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дня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концесієдавцем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протоколу </w:t>
            </w:r>
            <w:proofErr w:type="spellStart"/>
            <w:proofErr w:type="gram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комісії</w:t>
            </w:r>
            <w:proofErr w:type="spellEnd"/>
            <w:proofErr w:type="gram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висновок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найкращих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передбачає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концесіонеру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метою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концесійного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об’єктів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права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власності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договір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3117953E" w14:textId="77777777" w:rsidR="00053953" w:rsidRPr="00053953" w:rsidRDefault="00053953" w:rsidP="00171DD8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5. 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договору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майна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орендар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сплачує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орендну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плату до дня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майна за актом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приймання-передачі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включно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підписання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сторонами акта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приймання-передачі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орендар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сплачує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орендну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плату до дня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затвердження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концесієдавцем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протоколу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комісії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висновок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найкращих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передбачає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концесіонеру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з</w:t>
            </w:r>
            <w:proofErr w:type="gram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концесійного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об’єктів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права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державної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власності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договір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Припинення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договору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нерухомого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майна не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звільняє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орендаря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обов’язку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заборгованість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орендною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платою,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якщо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така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виникла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у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повному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обсязі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ураховуючи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до державного бюджету та </w:t>
            </w:r>
            <w:proofErr w:type="spellStart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0539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7AC3ECF5" w14:textId="77777777" w:rsidR="005707C9" w:rsidRPr="00053953" w:rsidRDefault="005707C9" w:rsidP="00171DD8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7C9" w:rsidRPr="005707C9" w14:paraId="3B53DA3E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63D8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2274C" w14:textId="551DB88E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="00DD3777" w:rsidRPr="008F2B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https://drive.google.com/open?id=1J1iqCKMqfKZL0ZGjDexIxcVW7witBOIt</w:t>
              </w:r>
            </w:hyperlink>
          </w:p>
        </w:tc>
      </w:tr>
      <w:tr w:rsidR="005707C9" w:rsidRPr="005707C9" w14:paraId="47C05B80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3E50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48F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5707C9" w:rsidRPr="005707C9" w14:paraId="5AE5456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3262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C5CA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707C9" w:rsidRPr="005707C9" w14:paraId="1FAD3DFE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506BE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7DF0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0487294447</w:t>
            </w:r>
          </w:p>
        </w:tc>
      </w:tr>
      <w:tr w:rsidR="005707C9" w:rsidRPr="005707C9" w14:paraId="7B04354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00B5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F1EA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0505962704</w:t>
            </w:r>
          </w:p>
        </w:tc>
      </w:tr>
      <w:tr w:rsidR="005707C9" w:rsidRPr="005707C9" w14:paraId="7EF3214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D371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84EA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eiv@ods.uspa.gov.ua</w:t>
            </w:r>
          </w:p>
        </w:tc>
      </w:tr>
      <w:tr w:rsidR="005707C9" w:rsidRPr="005707C9" w14:paraId="69D0585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8FC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62C4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fin.dep.umtuf@gmail.com</w:t>
            </w:r>
          </w:p>
        </w:tc>
      </w:tr>
      <w:tr w:rsidR="005707C9" w:rsidRPr="005707C9" w14:paraId="597DB6AE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C332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F4614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07C9" w:rsidRPr="005707C9" w14:paraId="5B93B5C0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6049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8E85" w14:textId="1F4902FD" w:rsidR="005707C9" w:rsidRPr="00171DD8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1DD8" w:rsidRPr="00171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="004B19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r w:rsidR="00171DD8" w:rsidRPr="00171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</w:t>
            </w:r>
            <w:r w:rsidR="004B19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71DD8" w:rsidRPr="00171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.2021</w:t>
            </w:r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707C9" w:rsidRPr="005707C9" w14:paraId="7DA48A81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0647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BCBCE" w14:textId="77777777" w:rsidR="005707C9" w:rsidRPr="00171DD8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5707C9" w:rsidRPr="005707C9" w14:paraId="4F37AA07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26BC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8C60" w14:textId="5B60BE15" w:rsidR="005707C9" w:rsidRPr="00171DD8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1DD8" w:rsidRPr="00171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="004B19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71DD8" w:rsidRPr="00171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</w:t>
            </w:r>
            <w:r w:rsidR="004B19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71DD8" w:rsidRPr="00171D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.2021</w:t>
            </w:r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дня,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1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707C9" w:rsidRPr="005707C9" w14:paraId="23E348C5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2A696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8C61" w14:textId="5D030112" w:rsidR="005707C9" w:rsidRPr="005707C9" w:rsidRDefault="00932112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</w:t>
            </w:r>
            <w:bookmarkStart w:id="0" w:name="_GoBack"/>
            <w:bookmarkEnd w:id="0"/>
          </w:p>
        </w:tc>
      </w:tr>
      <w:tr w:rsidR="005707C9" w:rsidRPr="005707C9" w14:paraId="37B69E4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B6DD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3E8D" w14:textId="67BCBF25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7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  <w:r w:rsidR="0017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5707C9" w:rsidRPr="005707C9" w14:paraId="7C68F37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B3A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2885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5707C9" w:rsidRPr="005707C9" w14:paraId="51ED013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1BEC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1A7E6" w14:textId="77777777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5707C9" w:rsidRPr="005707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707C9" w:rsidRPr="005707C9" w14:paraId="794E0DA7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522B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B4244" w14:textId="77777777" w:rsidR="008E2773" w:rsidRPr="00792074" w:rsidRDefault="008E2773" w:rsidP="008E2773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73A0213" w14:textId="77777777" w:rsidR="008E2773" w:rsidRPr="00792074" w:rsidRDefault="008E2773" w:rsidP="008E2773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276E3E70" w14:textId="77777777" w:rsidR="008E2773" w:rsidRPr="00792074" w:rsidRDefault="008E2773" w:rsidP="008E2773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4B5E169E" w14:textId="77777777" w:rsidR="008E2773" w:rsidRPr="00792074" w:rsidRDefault="008E2773" w:rsidP="008E2773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392221CC" w14:textId="7396939F" w:rsidR="005707C9" w:rsidRPr="005707C9" w:rsidRDefault="008E2773" w:rsidP="008E2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7C9" w:rsidRPr="005707C9" w14:paraId="088439B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EC2DE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69A96" w14:textId="77777777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5707C9" w:rsidRPr="005707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707C9" w:rsidRPr="005707C9" w14:paraId="1EAE94A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F9E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D30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707C9" w:rsidRPr="005707C9" w14:paraId="4F2338B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A1AD2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B4B2" w14:textId="77777777" w:rsidR="005707C9" w:rsidRPr="005707C9" w:rsidRDefault="005707C9" w:rsidP="0057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07C9" w:rsidRPr="005707C9" w14:paraId="7F199073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3FFB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65956" w14:textId="1EA08B72" w:rsidR="005707C9" w:rsidRPr="002818F9" w:rsidRDefault="00792074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18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5707C9" w:rsidRPr="005707C9" w14:paraId="3C4368BC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991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8F760" w14:textId="77777777" w:rsidR="005707C9" w:rsidRPr="002818F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5707C9" w:rsidRPr="005707C9" w14:paraId="3830C2E8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5BC2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056D" w14:textId="294B40E5" w:rsidR="005707C9" w:rsidRPr="002818F9" w:rsidRDefault="00B3264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5707C9" w:rsidRPr="0028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5707C9" w:rsidRPr="005707C9" w14:paraId="1412210B" w14:textId="77777777" w:rsidTr="004B197A">
        <w:trPr>
          <w:trHeight w:val="6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21A3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4AB4F" w14:textId="05CC1AD8" w:rsidR="005707C9" w:rsidRPr="002818F9" w:rsidRDefault="00792074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818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5707C9" w:rsidRPr="005707C9" w14:paraId="3580182E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A688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F276" w14:textId="361038C5" w:rsidR="005707C9" w:rsidRPr="005707C9" w:rsidRDefault="00B3264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5707C9"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5707C9" w:rsidRPr="005707C9" w14:paraId="5072FAC0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C601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E77B1" w14:textId="1476D3A7" w:rsidR="005707C9" w:rsidRPr="00E97C1B" w:rsidRDefault="00E97C1B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5707C9" w:rsidRPr="005707C9" w14:paraId="3B23ACED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A81EC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2356" w14:textId="791BF207" w:rsidR="005707C9" w:rsidRPr="005707C9" w:rsidRDefault="00B3264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5707C9"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5707C9" w:rsidRPr="005707C9" w14:paraId="0BD6A85F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DC54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5418E" w14:textId="022E8659" w:rsidR="005707C9" w:rsidRPr="00792074" w:rsidRDefault="00792074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5707C9" w:rsidRPr="005707C9" w14:paraId="5F7E0073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5EF98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5851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Закону.</w:t>
            </w:r>
          </w:p>
        </w:tc>
      </w:tr>
      <w:tr w:rsidR="005707C9" w:rsidRPr="005707C9" w14:paraId="18F2BFCE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223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10A5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9-Feb-2021</w:t>
            </w:r>
          </w:p>
        </w:tc>
      </w:tr>
      <w:tr w:rsidR="005707C9" w:rsidRPr="005707C9" w14:paraId="569A585A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4F7A3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CEBB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5707C9" w:rsidRPr="005707C9" w14:paraId="0A51E7A4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5F3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EB299" w14:textId="77777777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5707C9" w:rsidRPr="005707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https://prozorro.sale/auction/UA-PS-2020-12-16-000005-3/print/protocol/pdf</w:t>
              </w:r>
            </w:hyperlink>
          </w:p>
        </w:tc>
      </w:tr>
      <w:tr w:rsidR="005707C9" w:rsidRPr="005707C9" w14:paraId="146EA3B6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2D1D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5D4B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надійшов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але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направлено лист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необхідність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</w:p>
        </w:tc>
      </w:tr>
      <w:tr w:rsidR="005707C9" w:rsidRPr="005707C9" w14:paraId="1B93DEE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B407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56D79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5707C9" w:rsidRPr="005707C9" w14:paraId="0F3A4919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9AA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93591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Всеукраїнське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профспілок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„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морських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професійних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спілок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</w:tr>
      <w:tr w:rsidR="005707C9" w:rsidRPr="005707C9" w14:paraId="63A6772B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05F2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E1CA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14-Aug-2020</w:t>
            </w:r>
          </w:p>
        </w:tc>
      </w:tr>
      <w:tr w:rsidR="005707C9" w:rsidRPr="005707C9" w14:paraId="35194582" w14:textId="77777777" w:rsidTr="007C3A1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699DF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5707C9" w:rsidRPr="005707C9" w14:paraId="76D2CE95" w14:textId="77777777" w:rsidTr="004B197A">
        <w:trPr>
          <w:trHeight w:val="315"/>
        </w:trPr>
        <w:tc>
          <w:tcPr>
            <w:tcW w:w="5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C5C8D" w14:textId="77777777" w:rsidR="005707C9" w:rsidRPr="005707C9" w:rsidRDefault="00E148A3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anchor="gid=718665470" w:tgtFrame="_blank" w:history="1">
              <w:r w:rsidR="005707C9" w:rsidRPr="005707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75C46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7239</w:t>
            </w:r>
          </w:p>
        </w:tc>
      </w:tr>
      <w:tr w:rsidR="005707C9" w:rsidRPr="005707C9" w14:paraId="0B3EFBE0" w14:textId="77777777" w:rsidTr="007C3A1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C32A7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707C9" w:rsidRPr="005707C9" w14:paraId="11E057A6" w14:textId="77777777" w:rsidTr="007C3A13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17B59" w14:textId="77777777" w:rsidR="005707C9" w:rsidRPr="005707C9" w:rsidRDefault="005707C9" w:rsidP="005707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570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20CE3E16" w14:textId="77777777" w:rsidR="00792074" w:rsidRDefault="00792074">
      <w:pPr>
        <w:rPr>
          <w:rFonts w:ascii="Times New Roman" w:hAnsi="Times New Roman" w:cs="Times New Roman"/>
          <w:lang w:val="uk-UA"/>
        </w:rPr>
      </w:pPr>
    </w:p>
    <w:p w14:paraId="581F0C62" w14:textId="5CBBA5B8" w:rsidR="00792074" w:rsidRPr="00792074" w:rsidRDefault="00792074">
      <w:pPr>
        <w:rPr>
          <w:rFonts w:ascii="Times New Roman" w:hAnsi="Times New Roman" w:cs="Times New Roman"/>
          <w:lang w:val="uk-UA"/>
        </w:rPr>
      </w:pPr>
      <w:r w:rsidRPr="00792074">
        <w:rPr>
          <w:rFonts w:ascii="Times New Roman" w:hAnsi="Times New Roman" w:cs="Times New Roman"/>
          <w:lang w:val="uk-UA"/>
        </w:rPr>
        <w:t xml:space="preserve">В. о. начальника Регіонального відділення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792074">
        <w:rPr>
          <w:rFonts w:ascii="Times New Roman" w:hAnsi="Times New Roman" w:cs="Times New Roman"/>
          <w:lang w:val="uk-UA"/>
        </w:rPr>
        <w:t xml:space="preserve">                       Олександр БАЗІК</w:t>
      </w:r>
    </w:p>
    <w:sectPr w:rsidR="00792074" w:rsidRPr="0079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620B" w14:textId="77777777" w:rsidR="00E148A3" w:rsidRDefault="00E148A3" w:rsidP="005707C9">
      <w:pPr>
        <w:spacing w:after="0" w:line="240" w:lineRule="auto"/>
      </w:pPr>
      <w:r>
        <w:separator/>
      </w:r>
    </w:p>
  </w:endnote>
  <w:endnote w:type="continuationSeparator" w:id="0">
    <w:p w14:paraId="725A71BE" w14:textId="77777777" w:rsidR="00E148A3" w:rsidRDefault="00E148A3" w:rsidP="0057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8DB5" w14:textId="77777777" w:rsidR="00E148A3" w:rsidRDefault="00E148A3" w:rsidP="005707C9">
      <w:pPr>
        <w:spacing w:after="0" w:line="240" w:lineRule="auto"/>
      </w:pPr>
      <w:r>
        <w:separator/>
      </w:r>
    </w:p>
  </w:footnote>
  <w:footnote w:type="continuationSeparator" w:id="0">
    <w:p w14:paraId="79795412" w14:textId="77777777" w:rsidR="00E148A3" w:rsidRDefault="00E148A3" w:rsidP="00570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A7"/>
    <w:rsid w:val="000013A7"/>
    <w:rsid w:val="00053953"/>
    <w:rsid w:val="00171DD8"/>
    <w:rsid w:val="002818F9"/>
    <w:rsid w:val="003A16C0"/>
    <w:rsid w:val="004A5C7F"/>
    <w:rsid w:val="004B197A"/>
    <w:rsid w:val="005176C4"/>
    <w:rsid w:val="005707C9"/>
    <w:rsid w:val="005A7779"/>
    <w:rsid w:val="00622905"/>
    <w:rsid w:val="006373EE"/>
    <w:rsid w:val="00711020"/>
    <w:rsid w:val="00792074"/>
    <w:rsid w:val="007C3A13"/>
    <w:rsid w:val="0084384C"/>
    <w:rsid w:val="008E2773"/>
    <w:rsid w:val="00932112"/>
    <w:rsid w:val="00956B77"/>
    <w:rsid w:val="009F1E10"/>
    <w:rsid w:val="00AA5A32"/>
    <w:rsid w:val="00B32649"/>
    <w:rsid w:val="00B77871"/>
    <w:rsid w:val="00BA0D89"/>
    <w:rsid w:val="00C35B3D"/>
    <w:rsid w:val="00C6507D"/>
    <w:rsid w:val="00C74FBE"/>
    <w:rsid w:val="00D64A6C"/>
    <w:rsid w:val="00DD3777"/>
    <w:rsid w:val="00E148A3"/>
    <w:rsid w:val="00E95266"/>
    <w:rsid w:val="00E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FCBF"/>
  <w15:chartTrackingRefBased/>
  <w15:docId w15:val="{552D895A-0E15-4450-9204-A159E73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07C9"/>
  </w:style>
  <w:style w:type="paragraph" w:customStyle="1" w:styleId="msonormal0">
    <w:name w:val="msonormal"/>
    <w:basedOn w:val="a"/>
    <w:rsid w:val="005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07C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7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7C9"/>
  </w:style>
  <w:style w:type="paragraph" w:styleId="a7">
    <w:name w:val="footer"/>
    <w:basedOn w:val="a"/>
    <w:link w:val="a8"/>
    <w:uiPriority w:val="99"/>
    <w:unhideWhenUsed/>
    <w:rsid w:val="0057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7C9"/>
  </w:style>
  <w:style w:type="paragraph" w:customStyle="1" w:styleId="10">
    <w:name w:val="1"/>
    <w:basedOn w:val="a"/>
    <w:rsid w:val="008E2773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1iqCKMqfKZL0ZGjDexIxcVW7witBO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9f7qFBPKqGyeM1sqOmOIEKfgarfncIt6" TargetMode="External"/><Relationship Id="rId12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v2hEyhc98tRG-Y7QsnRM-RuX-FBnOON" TargetMode="External"/><Relationship Id="rId11" Type="http://schemas.openxmlformats.org/officeDocument/2006/relationships/hyperlink" Target="https://prozorro.sale/auction/UA-PS-2020-12-16-000005-3/print/protocol/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2021-03-12T12:41:00Z</dcterms:created>
  <dcterms:modified xsi:type="dcterms:W3CDTF">2021-06-11T13:13:00Z</dcterms:modified>
</cp:coreProperties>
</file>