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2E1F4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Продовження договору оренди нежитлових приміщень 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2E1F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підвал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2E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24,20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D754E5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</w:t>
            </w:r>
            <w:r w:rsidR="004D07E3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 </w:t>
            </w:r>
            <w:r w:rsidR="002E1F4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Червоноткацька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2E1F4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27/2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6F6D9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Договір від</w:t>
            </w:r>
            <w:r w:rsidR="006F6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05.05.2008 № 447/1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2E1F46" w:rsidP="003F1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ФОП Ковальов В.О.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5541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541E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.03.2018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5541E5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2E1F46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anna.bondarevska@kmda.gov.ua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5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6" w:history="1">
              <w:r w:rsidR="00C25D7D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F754A0">
              <w:rPr>
                <w:lang w:val="uk-UA"/>
              </w:rPr>
              <w:t xml:space="preserve">;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6F6D9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5541E5" w:rsidRPr="005541E5">
              <w:rPr>
                <w:rFonts w:ascii="Times New Roman" w:hAnsi="Times New Roman"/>
                <w:sz w:val="24"/>
                <w:szCs w:val="24"/>
                <w:lang w:val="uk-UA"/>
              </w:rPr>
              <w:t>підвал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площею 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96,38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кв. 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адресою: вул. </w:t>
            </w:r>
            <w:r w:rsidR="005541E5" w:rsidRPr="005541E5">
              <w:rPr>
                <w:rFonts w:ascii="Times New Roman" w:hAnsi="Times New Roman"/>
                <w:sz w:val="24"/>
                <w:szCs w:val="24"/>
                <w:lang w:val="uk-UA"/>
              </w:rPr>
              <w:t>Червоноткацька, 27/2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554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55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 w:rsidR="0055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55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261000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2E1F46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F754A0" w:rsidRDefault="00C055E4" w:rsidP="00554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 </w:t>
            </w:r>
            <w:r w:rsidR="00554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Червоноткацька, 27/2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A300D7">
                <w:rPr>
                  <w:rStyle w:val="a3"/>
                </w:rPr>
                <w:t xml:space="preserve">Червоноткацька, 27 / </w:t>
              </w:r>
              <w:proofErr w:type="spellStart"/>
              <w:r w:rsidR="00A300D7">
                <w:rPr>
                  <w:rStyle w:val="a3"/>
                </w:rPr>
                <w:t>Праці</w:t>
              </w:r>
              <w:proofErr w:type="spellEnd"/>
              <w:r w:rsidR="00A300D7">
                <w:rPr>
                  <w:rStyle w:val="a3"/>
                </w:rPr>
                <w:t xml:space="preserve"> бульвар, 2 у </w:t>
              </w:r>
              <w:proofErr w:type="spellStart"/>
              <w:r w:rsidR="00A300D7">
                <w:rPr>
                  <w:rStyle w:val="a3"/>
                </w:rPr>
                <w:t>Києві</w:t>
              </w:r>
              <w:proofErr w:type="spellEnd"/>
              <w:r w:rsidR="00A300D7">
                <w:rPr>
                  <w:rStyle w:val="a3"/>
                </w:rPr>
                <w:t xml:space="preserve"> — 2GIS</w:t>
              </w:r>
            </w:hyperlink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541E5" w:rsidP="00D9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24,20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 м</w:t>
            </w:r>
            <w:bookmarkStart w:id="0" w:name="_GoBack"/>
            <w:bookmarkEnd w:id="0"/>
          </w:p>
        </w:tc>
      </w:tr>
      <w:tr w:rsidR="006F6D9C" w:rsidRPr="00F754A0" w:rsidTr="006F6D9C">
        <w:trPr>
          <w:trHeight w:val="747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D9C" w:rsidRPr="00F754A0" w:rsidRDefault="006F6D9C" w:rsidP="006F6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D9C" w:rsidRPr="00F754A0" w:rsidRDefault="006F6D9C" w:rsidP="005541E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5541E5">
              <w:rPr>
                <w:rFonts w:ascii="Times New Roman" w:hAnsi="Times New Roman"/>
                <w:sz w:val="24"/>
                <w:szCs w:val="24"/>
                <w:lang w:val="uk-UA"/>
              </w:rPr>
              <w:t>підвал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площею </w:t>
            </w:r>
            <w:r w:rsidR="005541E5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5541E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кв. м за адресою: вул. </w:t>
            </w:r>
            <w:r w:rsidR="005541E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Червоноткацька</w:t>
            </w:r>
            <w:r w:rsidR="005541E5">
              <w:rPr>
                <w:rFonts w:ascii="Times New Roman" w:hAnsi="Times New Roman"/>
                <w:sz w:val="24"/>
                <w:szCs w:val="24"/>
                <w:lang w:val="uk-UA"/>
              </w:rPr>
              <w:t>, 27/2.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електропостачання</w:t>
            </w:r>
            <w:r w:rsidR="0055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теплопостачання.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541E5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2610</w:t>
            </w:r>
            <w:r w:rsidR="00F754A0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,00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115AA" w:rsidP="005541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9E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має право здавати Майно в суборенду за письмовою згодою Орендодавця. </w:t>
            </w:r>
          </w:p>
          <w:p w:rsidR="00277390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</w:t>
            </w:r>
            <w:r w:rsidR="0056199D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56199D" w:rsidRPr="00F754A0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hAnsi="Times New Roman"/>
                <w:sz w:val="24"/>
                <w:szCs w:val="24"/>
              </w:rPr>
              <w:lastRenderedPageBreak/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F754A0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8" w:history="1">
              <w:r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Pr="00F754A0">
              <w:rPr>
                <w:lang w:val="uk-UA"/>
              </w:rPr>
              <w:t xml:space="preserve">;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55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березня</w:t>
            </w:r>
            <w:r w:rsidR="00F71805"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D95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D951C0"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 березня </w:t>
            </w:r>
            <w:r w:rsidR="00BB1B36" w:rsidRPr="00D9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D9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дня, що передує дню проведення електронного аукціону.</w:t>
            </w:r>
          </w:p>
        </w:tc>
      </w:tr>
      <w:tr w:rsidR="00277390" w:rsidRPr="002E1F46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5541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55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261,00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554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6000</w:t>
            </w:r>
            <w:r w:rsidR="00F754A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201B2"/>
    <w:rsid w:val="000370F9"/>
    <w:rsid w:val="0004199D"/>
    <w:rsid w:val="00056770"/>
    <w:rsid w:val="000824B5"/>
    <w:rsid w:val="00090B9E"/>
    <w:rsid w:val="000A1525"/>
    <w:rsid w:val="000A7BEB"/>
    <w:rsid w:val="000B4DDF"/>
    <w:rsid w:val="00123EE1"/>
    <w:rsid w:val="001359F9"/>
    <w:rsid w:val="001473E8"/>
    <w:rsid w:val="001C3299"/>
    <w:rsid w:val="001D7742"/>
    <w:rsid w:val="001E0DF2"/>
    <w:rsid w:val="00237B9D"/>
    <w:rsid w:val="002606F0"/>
    <w:rsid w:val="00277390"/>
    <w:rsid w:val="0028102E"/>
    <w:rsid w:val="002826AA"/>
    <w:rsid w:val="00297DDA"/>
    <w:rsid w:val="002A1665"/>
    <w:rsid w:val="002E1F46"/>
    <w:rsid w:val="002F7391"/>
    <w:rsid w:val="00304F28"/>
    <w:rsid w:val="00361A36"/>
    <w:rsid w:val="003729F9"/>
    <w:rsid w:val="003961D0"/>
    <w:rsid w:val="003F1C9A"/>
    <w:rsid w:val="003F1D9F"/>
    <w:rsid w:val="00405649"/>
    <w:rsid w:val="00414BFF"/>
    <w:rsid w:val="004A2E86"/>
    <w:rsid w:val="004D07E3"/>
    <w:rsid w:val="004E5A11"/>
    <w:rsid w:val="005541E5"/>
    <w:rsid w:val="0056199D"/>
    <w:rsid w:val="00563AC0"/>
    <w:rsid w:val="00573BF3"/>
    <w:rsid w:val="005A6BAD"/>
    <w:rsid w:val="00606463"/>
    <w:rsid w:val="00676995"/>
    <w:rsid w:val="006A72DC"/>
    <w:rsid w:val="006E2CF0"/>
    <w:rsid w:val="006F6D9C"/>
    <w:rsid w:val="007A1714"/>
    <w:rsid w:val="00800DC1"/>
    <w:rsid w:val="008A66D1"/>
    <w:rsid w:val="008B555F"/>
    <w:rsid w:val="0090592E"/>
    <w:rsid w:val="00927043"/>
    <w:rsid w:val="00957E4D"/>
    <w:rsid w:val="009730D4"/>
    <w:rsid w:val="009B1A75"/>
    <w:rsid w:val="00A02334"/>
    <w:rsid w:val="00A300D7"/>
    <w:rsid w:val="00A70C0D"/>
    <w:rsid w:val="00B175CE"/>
    <w:rsid w:val="00B2326E"/>
    <w:rsid w:val="00B45D95"/>
    <w:rsid w:val="00B46702"/>
    <w:rsid w:val="00BA1B31"/>
    <w:rsid w:val="00BA6E2F"/>
    <w:rsid w:val="00BB1B36"/>
    <w:rsid w:val="00BE56E2"/>
    <w:rsid w:val="00C055E4"/>
    <w:rsid w:val="00C1537E"/>
    <w:rsid w:val="00C25D7D"/>
    <w:rsid w:val="00C641F3"/>
    <w:rsid w:val="00CE34BF"/>
    <w:rsid w:val="00CF4295"/>
    <w:rsid w:val="00D25ED5"/>
    <w:rsid w:val="00D754E5"/>
    <w:rsid w:val="00D75B67"/>
    <w:rsid w:val="00D91F93"/>
    <w:rsid w:val="00D951C0"/>
    <w:rsid w:val="00E12275"/>
    <w:rsid w:val="00E254CD"/>
    <w:rsid w:val="00E316BE"/>
    <w:rsid w:val="00EC1211"/>
    <w:rsid w:val="00ED0823"/>
    <w:rsid w:val="00F058B6"/>
    <w:rsid w:val="00F115AA"/>
    <w:rsid w:val="00F27194"/>
    <w:rsid w:val="00F42398"/>
    <w:rsid w:val="00F71805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11D9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o.ker.ko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gis.ua/kiev/geo/15059546909225400?m=30.621513%2C50.452288%2F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pro.ker.kom@gmail.com" TargetMode="External"/><Relationship Id="rId5" Type="http://schemas.openxmlformats.org/officeDocument/2006/relationships/hyperlink" Target="mailto:dniprovskarda@kmda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na.bondarevska@kmda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4302</Words>
  <Characters>2453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Бондаревська Анна Миколаївна</cp:lastModifiedBy>
  <cp:revision>24</cp:revision>
  <cp:lastPrinted>2021-01-26T12:13:00Z</cp:lastPrinted>
  <dcterms:created xsi:type="dcterms:W3CDTF">2021-01-26T08:53:00Z</dcterms:created>
  <dcterms:modified xsi:type="dcterms:W3CDTF">2021-02-19T08:12:00Z</dcterms:modified>
</cp:coreProperties>
</file>