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E5" w:rsidRPr="001D4CE3" w:rsidRDefault="001D4CE3" w:rsidP="001D4CE3">
      <w:pPr>
        <w:jc w:val="center"/>
        <w:rPr>
          <w:rFonts w:ascii="Times New Roman" w:hAnsi="Times New Roman" w:cs="Times New Roman"/>
          <w:sz w:val="28"/>
          <w:szCs w:val="28"/>
          <w:lang w:val="uk-UA"/>
        </w:rPr>
      </w:pPr>
      <w:bookmarkStart w:id="0" w:name="_GoBack"/>
      <w:bookmarkEnd w:id="0"/>
      <w:r w:rsidRPr="001D4CE3">
        <w:rPr>
          <w:rFonts w:ascii="Times New Roman" w:hAnsi="Times New Roman" w:cs="Times New Roman"/>
          <w:sz w:val="28"/>
          <w:szCs w:val="28"/>
          <w:lang w:val="uk-UA"/>
        </w:rPr>
        <w:t>Перелік документів для учасників:</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1) фізична особа — підприємець:</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2)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код згідно з ЄДРПОУ;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повернуто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3) іноземна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 іноземної юридичної особи, зареєстрованого представництва іноземної юридичної особи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місцезнаходження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lastRenderedPageBreak/>
        <w:t>код зареєстрованого представництва іноземної юридичної особи згідно з ЄДРПОУ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rPr>
          <w:rFonts w:ascii="Times New Roman" w:hAnsi="Times New Roman" w:cs="Times New Roman"/>
          <w:sz w:val="28"/>
          <w:szCs w:val="28"/>
          <w:lang w:val="uk-UA"/>
        </w:rPr>
      </w:pPr>
    </w:p>
    <w:sectPr w:rsidR="001D4CE3" w:rsidRPr="001D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E5"/>
    <w:rsid w:val="00052133"/>
    <w:rsid w:val="001942D9"/>
    <w:rsid w:val="001D4CE3"/>
    <w:rsid w:val="00E87FE5"/>
    <w:rsid w:val="00FD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CB1A2-0C0F-4CF4-9B48-EF8E726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4CE3"/>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1748</Words>
  <Characters>997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2020-02-12T14:27:00Z</dcterms:created>
  <dcterms:modified xsi:type="dcterms:W3CDTF">2020-02-12T14:27:00Z</dcterms:modified>
</cp:coreProperties>
</file>