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D5" w:rsidRPr="007C40D5" w:rsidRDefault="007C40D5" w:rsidP="007C4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ДОГОВІР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C40D5">
        <w:rPr>
          <w:rFonts w:ascii="Times New Roman" w:hAnsi="Times New Roman" w:cs="Times New Roman"/>
          <w:sz w:val="24"/>
          <w:szCs w:val="24"/>
        </w:rPr>
        <w:t>____</w:t>
      </w:r>
    </w:p>
    <w:p w:rsidR="007C40D5" w:rsidRPr="007C40D5" w:rsidRDefault="007C40D5" w:rsidP="007C40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</w:p>
    <w:p w:rsidR="007C40D5" w:rsidRPr="007C40D5" w:rsidRDefault="007C40D5" w:rsidP="007C40D5">
      <w:pPr>
        <w:rPr>
          <w:rFonts w:ascii="Times New Roman" w:hAnsi="Times New Roman" w:cs="Times New Roman"/>
          <w:sz w:val="24"/>
          <w:szCs w:val="24"/>
        </w:rPr>
      </w:pPr>
    </w:p>
    <w:p w:rsidR="007C40D5" w:rsidRPr="007C40D5" w:rsidRDefault="007C40D5" w:rsidP="007C40D5">
      <w:pPr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>м.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C40D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___»__________2019 року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Ми,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підписалися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утриманню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Житлорембудсервіс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Деснянського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району м.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(код ЄДРПОУ 31776030),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адреса: 02217, м.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Закревського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буд. 15, 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ліквідатора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Потупало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Наталії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Ігорівни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сподарського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7C40D5">
        <w:rPr>
          <w:rFonts w:ascii="Times New Roman" w:hAnsi="Times New Roman" w:cs="Times New Roman"/>
          <w:sz w:val="24"/>
          <w:szCs w:val="24"/>
        </w:rPr>
        <w:t xml:space="preserve">910/23387/16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23.10.2017р., та Закону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платоспроможності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банкрутом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кредитор), з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________________________________________________, 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_____________________,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(-а)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____________________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кредитор),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– Сторона, а разом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Метою Договору є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торгах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).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1.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в порядку та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та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</w:p>
    <w:p w:rsid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D5">
        <w:rPr>
          <w:rFonts w:ascii="Times New Roman" w:hAnsi="Times New Roman" w:cs="Times New Roman"/>
          <w:sz w:val="24"/>
          <w:szCs w:val="24"/>
        </w:rPr>
        <w:t>протоколу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аукціонних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7C40D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Протокол,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шляхом продажу Новому кредитору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кредитору, 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права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кредитора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агентів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 д</w:t>
      </w:r>
      <w:r w:rsidRPr="007C40D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Договору,надалі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кредитору за Права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у порядку,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дебіторської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грн. 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2.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в день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але в будь-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Первинним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пункту 5.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 кредитора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обмежуючись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: право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Нового кредитора,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C40D5">
        <w:rPr>
          <w:rFonts w:ascii="Times New Roman" w:hAnsi="Times New Roman" w:cs="Times New Roman"/>
          <w:sz w:val="24"/>
          <w:szCs w:val="24"/>
        </w:rPr>
        <w:t xml:space="preserve">1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Договору. Права кредитора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Нового кредитора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3. Право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відступається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Новому кредитору,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засвідчується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7C40D5">
        <w:rPr>
          <w:rFonts w:ascii="Times New Roman" w:hAnsi="Times New Roman" w:cs="Times New Roman"/>
          <w:sz w:val="24"/>
          <w:szCs w:val="24"/>
        </w:rPr>
        <w:t>910/23387/16, постановами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проваджень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відділів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ДВС,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первинними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документами,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обтяження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7C40D5">
        <w:rPr>
          <w:rFonts w:ascii="Times New Roman" w:hAnsi="Times New Roman" w:cs="Times New Roman"/>
          <w:sz w:val="24"/>
          <w:szCs w:val="24"/>
        </w:rPr>
        <w:t xml:space="preserve">910/23387/16,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постанов про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проваджень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відділів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ДВС,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первинних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Новому </w:t>
      </w:r>
      <w:r w:rsidRPr="007C40D5">
        <w:rPr>
          <w:rFonts w:ascii="Times New Roman" w:hAnsi="Times New Roman" w:cs="Times New Roman"/>
          <w:sz w:val="24"/>
          <w:szCs w:val="24"/>
        </w:rPr>
        <w:lastRenderedPageBreak/>
        <w:t>кредитору за актом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але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в п.5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5.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_________________________________ грн.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>(_________________________________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____ коп.),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C40D5">
        <w:rPr>
          <w:rFonts w:ascii="Times New Roman" w:hAnsi="Times New Roman" w:cs="Times New Roman"/>
          <w:sz w:val="24"/>
          <w:szCs w:val="24"/>
        </w:rPr>
        <w:t>кредитору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пункту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7C40D5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протоколу,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складеного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6.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Сторона,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D5">
        <w:rPr>
          <w:rFonts w:ascii="Times New Roman" w:hAnsi="Times New Roman" w:cs="Times New Roman"/>
          <w:sz w:val="24"/>
          <w:szCs w:val="24"/>
        </w:rPr>
        <w:t>порушила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договорами.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Усі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правовідносини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ним, у тому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дійсністю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укладенням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припиненням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тлумаченням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умов,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регламентуються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нормами чинного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наслідком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могли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могли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запобігти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об’єктивно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вплинули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унеможливили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форс-мажору),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збройний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обмежуючись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ворожими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атаками, блокадами,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ембарго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ворога,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військові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оголошена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неоголошена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тероризму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безлади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вторгнення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заколот,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повстання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заворушення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експропріація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стихійні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катаклізми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настанні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припиненні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форс-мажору Сторона, для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неможливість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повинна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дня з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моменту, коли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Сторона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дізналась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дізнатись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Сторону.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форс-мажору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підтверджено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Стороною, яка на 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посилається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документу, виданого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компетентним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органом.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підписанням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ознайомився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фактичним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станом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них </w:t>
      </w:r>
      <w:r w:rsidRPr="007C40D5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запевнень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погоджуються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недійсними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нікчемність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будь-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вплине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дійсність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жодної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кредитором.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умов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</w:p>
    <w:p w:rsid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термінології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автентичних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силу, по одному для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Default="007C40D5" w:rsidP="007C40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6"/>
        <w:gridCol w:w="4790"/>
      </w:tblGrid>
      <w:tr w:rsidR="007C40D5" w:rsidTr="007C40D5">
        <w:tc>
          <w:tcPr>
            <w:tcW w:w="4508" w:type="dxa"/>
          </w:tcPr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Первісний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кредитор: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кредитор: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D5" w:rsidTr="007C40D5">
        <w:tc>
          <w:tcPr>
            <w:tcW w:w="4508" w:type="dxa"/>
          </w:tcPr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утриманню</w:t>
            </w:r>
            <w:proofErr w:type="spellEnd"/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proofErr w:type="gram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Житлорембудсервіс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Деснянського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02217, м.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Закревського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, буд. 15,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/р 26000060407648 в ПАТ КБ «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Приватбанк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МФО 300711, код ЄДРПОУ 31776030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Ліквідатор</w:t>
            </w:r>
            <w:proofErr w:type="spellEnd"/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 Потупало Н.І.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_______________________/______________/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D5" w:rsidRPr="007C40D5" w:rsidRDefault="007C40D5" w:rsidP="007C40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2FB" w:rsidRPr="007C40D5" w:rsidRDefault="007C40D5" w:rsidP="007C40D5">
      <w:pPr>
        <w:rPr>
          <w:rFonts w:ascii="Times New Roman" w:hAnsi="Times New Roman" w:cs="Times New Roman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проект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змінений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чинного</w:t>
      </w:r>
      <w:r w:rsidRPr="007C40D5">
        <w:rPr>
          <w:rFonts w:ascii="Times New Roman" w:hAnsi="Times New Roman" w:cs="Times New Roman"/>
        </w:rPr>
        <w:t xml:space="preserve"> </w:t>
      </w:r>
      <w:proofErr w:type="spellStart"/>
      <w:r w:rsidRPr="007C40D5">
        <w:rPr>
          <w:rFonts w:ascii="Times New Roman" w:hAnsi="Times New Roman" w:cs="Times New Roman"/>
        </w:rPr>
        <w:t>законодавства</w:t>
      </w:r>
      <w:proofErr w:type="spellEnd"/>
      <w:r w:rsidRPr="007C40D5">
        <w:rPr>
          <w:rFonts w:ascii="Times New Roman" w:hAnsi="Times New Roman" w:cs="Times New Roman"/>
        </w:rPr>
        <w:t xml:space="preserve"> </w:t>
      </w:r>
      <w:proofErr w:type="spellStart"/>
      <w:r w:rsidRPr="007C40D5">
        <w:rPr>
          <w:rFonts w:ascii="Times New Roman" w:hAnsi="Times New Roman" w:cs="Times New Roman"/>
        </w:rPr>
        <w:t>України</w:t>
      </w:r>
      <w:proofErr w:type="spellEnd"/>
      <w:r w:rsidRPr="007C40D5">
        <w:rPr>
          <w:rFonts w:ascii="Times New Roman" w:hAnsi="Times New Roman" w:cs="Times New Roman"/>
        </w:rPr>
        <w:t xml:space="preserve"> на момент </w:t>
      </w:r>
      <w:proofErr w:type="spellStart"/>
      <w:r w:rsidRPr="007C40D5">
        <w:rPr>
          <w:rFonts w:ascii="Times New Roman" w:hAnsi="Times New Roman" w:cs="Times New Roman"/>
        </w:rPr>
        <w:t>укладення</w:t>
      </w:r>
      <w:proofErr w:type="spellEnd"/>
    </w:p>
    <w:sectPr w:rsidR="009522FB" w:rsidRPr="007C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D5"/>
    <w:rsid w:val="007C40D5"/>
    <w:rsid w:val="0095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D352-FC06-4791-AC76-2E640877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Потупало</dc:creator>
  <cp:keywords/>
  <dc:description/>
  <cp:lastModifiedBy>Наталья Потупало</cp:lastModifiedBy>
  <cp:revision>1</cp:revision>
  <dcterms:created xsi:type="dcterms:W3CDTF">2019-11-13T10:42:00Z</dcterms:created>
  <dcterms:modified xsi:type="dcterms:W3CDTF">2019-11-13T10:51:00Z</dcterms:modified>
</cp:coreProperties>
</file>