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5F79B812"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0C150B" w:rsidRPr="000C150B">
        <w:rPr>
          <w:rFonts w:ascii="Times New Roman" w:hAnsi="Times New Roman" w:cs="Times New Roman"/>
          <w:sz w:val="28"/>
          <w:szCs w:val="28"/>
          <w:lang w:val="uk-UA"/>
        </w:rPr>
        <w:t>5,983</w:t>
      </w:r>
      <w:r w:rsidR="000C150B">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0C150B">
        <w:rPr>
          <w:sz w:val="28"/>
          <w:lang w:val="uk-UA"/>
        </w:rPr>
        <w:t xml:space="preserve">п’ять </w:t>
      </w:r>
      <w:proofErr w:type="spellStart"/>
      <w:r w:rsidR="000C150B">
        <w:rPr>
          <w:sz w:val="28"/>
          <w:lang w:val="uk-UA"/>
        </w:rPr>
        <w:t>тонн</w:t>
      </w:r>
      <w:proofErr w:type="spellEnd"/>
      <w:r w:rsidR="000C150B">
        <w:rPr>
          <w:sz w:val="28"/>
          <w:lang w:val="uk-UA"/>
        </w:rPr>
        <w:t xml:space="preserve"> дев’ятсот вісімдесят три 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55C8DE1"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4B288A">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EDD2653"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2670DE">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598FD162"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2670DE">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400C355" w:rsidR="00997C13" w:rsidRPr="009E5A80" w:rsidRDefault="000E1BA0" w:rsidP="004B288A">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0C150B">
              <w:rPr>
                <w:rFonts w:cstheme="minorHAnsi"/>
                <w:lang w:val="uk-UA"/>
              </w:rPr>
              <w:t>321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0D32EC84" w:rsidR="00997C13" w:rsidRPr="009E5A80" w:rsidRDefault="000C150B" w:rsidP="00424142">
            <w:pPr>
              <w:jc w:val="center"/>
              <w:rPr>
                <w:rFonts w:ascii="Times New Roman" w:hAnsi="Times New Roman" w:cs="Times New Roman"/>
                <w:sz w:val="28"/>
                <w:szCs w:val="28"/>
                <w:lang w:val="uk-UA" w:eastAsia="en-US"/>
              </w:rPr>
            </w:pPr>
            <w:r w:rsidRPr="000C150B">
              <w:rPr>
                <w:sz w:val="28"/>
                <w:lang w:val="uk-UA"/>
              </w:rPr>
              <w:t>5,983</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70363921" w:rsidR="00997C13" w:rsidRPr="004650B1" w:rsidRDefault="000C150B" w:rsidP="00424142">
            <w:pPr>
              <w:jc w:val="center"/>
              <w:rPr>
                <w:rFonts w:ascii="Times New Roman" w:hAnsi="Times New Roman" w:cs="Times New Roman"/>
                <w:sz w:val="28"/>
                <w:szCs w:val="28"/>
                <w:lang w:val="uk-UA" w:eastAsia="en-US"/>
              </w:rPr>
            </w:pPr>
            <w:r w:rsidRPr="000C150B">
              <w:rPr>
                <w:sz w:val="28"/>
                <w:szCs w:val="28"/>
                <w:lang w:val="uk-UA"/>
              </w:rPr>
              <w:t>5,983</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MON_1627400661"/>
    <w:bookmarkEnd w:id="1"/>
    <w:p w14:paraId="2918517B" w14:textId="0D4A3631" w:rsidR="00613FDA" w:rsidRPr="00F6068E" w:rsidRDefault="002670DE" w:rsidP="00732710">
      <w:pPr>
        <w:tabs>
          <w:tab w:val="left" w:pos="567"/>
        </w:tabs>
        <w:jc w:val="center"/>
        <w:rPr>
          <w:rFonts w:ascii="Times New Roman" w:hAnsi="Times New Roman" w:cs="Times New Roman"/>
          <w:b/>
          <w:lang w:val="uk-UA"/>
        </w:rPr>
      </w:pPr>
      <w:r>
        <w:rPr>
          <w:rFonts w:ascii="Times New Roman" w:hAnsi="Times New Roman"/>
          <w:color w:val="000000"/>
        </w:rPr>
        <w:object w:dxaOrig="11430" w:dyaOrig="14150"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6.5pt;height:684.75pt" o:ole="">
            <v:imagedata r:id="rId8" o:title=""/>
          </v:shape>
          <o:OLEObject Type="Embed" ProgID="Excel.Sheet.8" ShapeID="_x0000_i1031" DrawAspect="Content" ObjectID="_1627400693" r:id="rId9"/>
        </w:object>
      </w:r>
      <w:bookmarkStart w:id="2" w:name="_GoBack"/>
      <w:bookmarkEnd w:id="2"/>
    </w:p>
    <w:p w14:paraId="50E5A596" w14:textId="0078DC0E"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2670DE" w:rsidRPr="00613FDA">
        <w:rPr>
          <w:rFonts w:ascii="Times New Roman" w:hAnsi="Times New Roman"/>
          <w:noProof/>
          <w:lang w:val="uk-UA"/>
        </w:rPr>
        <w:object w:dxaOrig="9905" w:dyaOrig="15132" w14:anchorId="6A03F777">
          <v:shape id="_x0000_i1034" type="#_x0000_t75" alt="" style="width:471pt;height:666pt" o:ole="">
            <v:imagedata r:id="rId10" o:title=""/>
          </v:shape>
          <o:OLEObject Type="Embed" ProgID="Excel.Sheet.8" ShapeID="_x0000_i1034" DrawAspect="Content" ObjectID="_1627400694"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282F7" w14:textId="77777777" w:rsidR="00124CF2" w:rsidRDefault="00124CF2" w:rsidP="00895BF0">
      <w:r>
        <w:separator/>
      </w:r>
    </w:p>
  </w:endnote>
  <w:endnote w:type="continuationSeparator" w:id="0">
    <w:p w14:paraId="49B67557" w14:textId="77777777" w:rsidR="00124CF2" w:rsidRDefault="00124CF2" w:rsidP="00895BF0">
      <w:r>
        <w:continuationSeparator/>
      </w:r>
    </w:p>
  </w:endnote>
  <w:endnote w:type="continuationNotice" w:id="1">
    <w:p w14:paraId="2CBA457D" w14:textId="77777777" w:rsidR="00124CF2" w:rsidRDefault="00124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661D41C8"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2670DE">
          <w:rPr>
            <w:noProof/>
            <w:sz w:val="20"/>
          </w:rPr>
          <w:t>12</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3A2C1" w14:textId="77777777" w:rsidR="00124CF2" w:rsidRDefault="00124CF2" w:rsidP="00895BF0">
      <w:r>
        <w:separator/>
      </w:r>
    </w:p>
  </w:footnote>
  <w:footnote w:type="continuationSeparator" w:id="0">
    <w:p w14:paraId="5B4D55FF" w14:textId="77777777" w:rsidR="00124CF2" w:rsidRDefault="00124CF2" w:rsidP="00895BF0">
      <w:r>
        <w:continuationSeparator/>
      </w:r>
    </w:p>
  </w:footnote>
  <w:footnote w:type="continuationNotice" w:id="1">
    <w:p w14:paraId="42A19136" w14:textId="77777777" w:rsidR="00124CF2" w:rsidRDefault="00124CF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4CF2"/>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0DE"/>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7DC6"/>
    <w:rsid w:val="007108DB"/>
    <w:rsid w:val="00712DEC"/>
    <w:rsid w:val="00717C0E"/>
    <w:rsid w:val="007200FF"/>
    <w:rsid w:val="00721C6A"/>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B7F7C"/>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3081"/>
    <w:rsid w:val="009D3557"/>
    <w:rsid w:val="009D53E2"/>
    <w:rsid w:val="009D618C"/>
    <w:rsid w:val="009D65B0"/>
    <w:rsid w:val="009E0059"/>
    <w:rsid w:val="009E1ECD"/>
    <w:rsid w:val="009E5A80"/>
    <w:rsid w:val="009F2607"/>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340"/>
    <w:rsid w:val="00A4447E"/>
    <w:rsid w:val="00A451C5"/>
    <w:rsid w:val="00A5799C"/>
    <w:rsid w:val="00A62077"/>
    <w:rsid w:val="00A64008"/>
    <w:rsid w:val="00A646A3"/>
    <w:rsid w:val="00A672BA"/>
    <w:rsid w:val="00A70772"/>
    <w:rsid w:val="00A70798"/>
    <w:rsid w:val="00A75C53"/>
    <w:rsid w:val="00A75F7C"/>
    <w:rsid w:val="00A777C3"/>
    <w:rsid w:val="00A778BF"/>
    <w:rsid w:val="00A802E2"/>
    <w:rsid w:val="00A807BC"/>
    <w:rsid w:val="00A80907"/>
    <w:rsid w:val="00A817E0"/>
    <w:rsid w:val="00A83095"/>
    <w:rsid w:val="00A8309E"/>
    <w:rsid w:val="00A9066E"/>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5A1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EAA"/>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894F8-FC5E-4DC3-A06C-99C24CC79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4004</Words>
  <Characters>22823</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4</cp:revision>
  <cp:lastPrinted>2019-08-09T08:10:00Z</cp:lastPrinted>
  <dcterms:created xsi:type="dcterms:W3CDTF">2019-08-15T08:41:00Z</dcterms:created>
  <dcterms:modified xsi:type="dcterms:W3CDTF">2019-08-15T15:58:00Z</dcterms:modified>
</cp:coreProperties>
</file>