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8B" w:rsidRDefault="002D6B8B" w:rsidP="002D6B8B">
      <w:pPr>
        <w:rPr>
          <w:lang w:val="uk-UA"/>
        </w:rPr>
      </w:pPr>
    </w:p>
    <w:p w:rsidR="002D6B8B" w:rsidRDefault="002D6B8B" w:rsidP="002D6B8B">
      <w:pPr>
        <w:rPr>
          <w:lang w:val="uk-UA"/>
        </w:rPr>
      </w:pPr>
    </w:p>
    <w:p w:rsidR="002D6B8B" w:rsidRDefault="002D6B8B" w:rsidP="002D6B8B">
      <w:pPr>
        <w:rPr>
          <w:lang w:val="uk-UA"/>
        </w:rPr>
      </w:pPr>
    </w:p>
    <w:p w:rsidR="00EE085D" w:rsidRPr="006F7C9C" w:rsidRDefault="006F7C9C" w:rsidP="002D6B8B">
      <w:pPr>
        <w:rPr>
          <w:lang w:val="uk-UA"/>
        </w:rPr>
      </w:pPr>
      <w:r>
        <w:rPr>
          <w:lang w:val="uk-UA"/>
        </w:rPr>
        <w:t>ПУБЛІЧНИЙ ПАСПОРТ АКТИВУ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701"/>
        <w:gridCol w:w="1979"/>
      </w:tblGrid>
      <w:tr w:rsidR="00551D32" w:rsidRPr="00013A10" w:rsidTr="00037CA4">
        <w:tc>
          <w:tcPr>
            <w:tcW w:w="2972" w:type="dxa"/>
            <w:gridSpan w:val="2"/>
          </w:tcPr>
          <w:p w:rsidR="00551D32" w:rsidRPr="00551D32" w:rsidRDefault="00551D32">
            <w:pPr>
              <w:rPr>
                <w:lang w:val="uk-UA"/>
              </w:rPr>
            </w:pPr>
            <w:r>
              <w:rPr>
                <w:lang w:val="uk-UA"/>
              </w:rPr>
              <w:t xml:space="preserve">Продавець </w:t>
            </w:r>
          </w:p>
        </w:tc>
        <w:tc>
          <w:tcPr>
            <w:tcW w:w="6373" w:type="dxa"/>
            <w:gridSpan w:val="3"/>
          </w:tcPr>
          <w:p w:rsidR="00551D32" w:rsidRPr="00551D32" w:rsidRDefault="00551D32">
            <w:pPr>
              <w:rPr>
                <w:lang w:val="uk-UA"/>
              </w:rPr>
            </w:pPr>
            <w:r>
              <w:rPr>
                <w:lang w:val="uk-UA"/>
              </w:rPr>
              <w:t>ПрАТ «Київ-Дн</w:t>
            </w:r>
            <w:r w:rsidR="008D12DB">
              <w:rPr>
                <w:lang w:val="uk-UA"/>
              </w:rPr>
              <w:t>іпровське МППЗТ» ЄДРПОУ 04737111</w:t>
            </w:r>
          </w:p>
        </w:tc>
      </w:tr>
      <w:tr w:rsidR="00551D32" w:rsidRPr="00551D32" w:rsidTr="00037CA4">
        <w:tc>
          <w:tcPr>
            <w:tcW w:w="2972" w:type="dxa"/>
            <w:gridSpan w:val="2"/>
          </w:tcPr>
          <w:p w:rsidR="00551D32" w:rsidRPr="00551D32" w:rsidRDefault="00551D32">
            <w:pPr>
              <w:rPr>
                <w:lang w:val="uk-UA"/>
              </w:rPr>
            </w:pPr>
            <w:r>
              <w:rPr>
                <w:lang w:val="uk-UA"/>
              </w:rPr>
              <w:t>Адреса</w:t>
            </w:r>
          </w:p>
        </w:tc>
        <w:tc>
          <w:tcPr>
            <w:tcW w:w="6373" w:type="dxa"/>
            <w:gridSpan w:val="3"/>
          </w:tcPr>
          <w:p w:rsidR="00551D32" w:rsidRPr="00013A10" w:rsidRDefault="00551D32">
            <w:pPr>
              <w:rPr>
                <w:rFonts w:ascii="Calibri" w:hAnsi="Calibri" w:cs="Calibri"/>
              </w:rPr>
            </w:pPr>
            <w:r w:rsidRPr="00551D32">
              <w:rPr>
                <w:rFonts w:ascii="Calibri" w:eastAsia="Times New Roman" w:hAnsi="Calibri" w:cs="Calibri"/>
                <w:sz w:val="24"/>
                <w:szCs w:val="20"/>
                <w:lang w:val="uk-UA" w:eastAsia="ru-RU"/>
              </w:rPr>
              <w:t>02092, м. Київ, вул. Алма-Атинська, 3</w:t>
            </w:r>
            <w:r w:rsidR="008D12DB" w:rsidRPr="00013A10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7</w:t>
            </w:r>
          </w:p>
        </w:tc>
      </w:tr>
      <w:tr w:rsidR="00551D32" w:rsidRPr="00551D32" w:rsidTr="00037CA4">
        <w:tc>
          <w:tcPr>
            <w:tcW w:w="2972" w:type="dxa"/>
            <w:gridSpan w:val="2"/>
          </w:tcPr>
          <w:p w:rsidR="00551D32" w:rsidRPr="00551D32" w:rsidRDefault="00551D32">
            <w:pPr>
              <w:rPr>
                <w:lang w:val="uk-UA"/>
              </w:rPr>
            </w:pPr>
            <w:r>
              <w:rPr>
                <w:lang w:val="uk-UA"/>
              </w:rPr>
              <w:t>Кількість брухту, тон</w:t>
            </w:r>
          </w:p>
        </w:tc>
        <w:tc>
          <w:tcPr>
            <w:tcW w:w="6373" w:type="dxa"/>
            <w:gridSpan w:val="3"/>
          </w:tcPr>
          <w:p w:rsidR="00551D32" w:rsidRPr="00551D32" w:rsidRDefault="00013A10">
            <w:pPr>
              <w:rPr>
                <w:lang w:val="uk-UA"/>
              </w:rPr>
            </w:pPr>
            <w:r>
              <w:rPr>
                <w:lang w:val="uk-UA"/>
              </w:rPr>
              <w:t>10,96</w:t>
            </w:r>
            <w:bookmarkStart w:id="0" w:name="_GoBack"/>
            <w:bookmarkEnd w:id="0"/>
          </w:p>
        </w:tc>
      </w:tr>
      <w:tr w:rsidR="00551D32" w:rsidRPr="00551D32" w:rsidTr="00037CA4">
        <w:tc>
          <w:tcPr>
            <w:tcW w:w="2972" w:type="dxa"/>
            <w:gridSpan w:val="2"/>
          </w:tcPr>
          <w:p w:rsidR="00551D32" w:rsidRPr="00551D32" w:rsidRDefault="00551D32">
            <w:pPr>
              <w:rPr>
                <w:lang w:val="uk-UA"/>
              </w:rPr>
            </w:pPr>
            <w:r>
              <w:rPr>
                <w:lang w:val="uk-UA"/>
              </w:rPr>
              <w:t>Номер лоту</w:t>
            </w:r>
          </w:p>
        </w:tc>
        <w:tc>
          <w:tcPr>
            <w:tcW w:w="6373" w:type="dxa"/>
            <w:gridSpan w:val="3"/>
          </w:tcPr>
          <w:p w:rsidR="00551D32" w:rsidRPr="00551D32" w:rsidRDefault="00C6418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D610B" w:rsidTr="00037CA4">
        <w:tc>
          <w:tcPr>
            <w:tcW w:w="846" w:type="dxa"/>
          </w:tcPr>
          <w:p w:rsidR="00DD610B" w:rsidRDefault="00DD610B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4819" w:type="dxa"/>
            <w:gridSpan w:val="2"/>
          </w:tcPr>
          <w:p w:rsidR="00DD610B" w:rsidRDefault="00DD610B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філії-балансоутримувача</w:t>
            </w:r>
          </w:p>
        </w:tc>
        <w:tc>
          <w:tcPr>
            <w:tcW w:w="1701" w:type="dxa"/>
          </w:tcPr>
          <w:p w:rsidR="00DD610B" w:rsidRDefault="00DD610B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металобрухту згідно з ДСТУ 3211-2009</w:t>
            </w:r>
          </w:p>
        </w:tc>
        <w:tc>
          <w:tcPr>
            <w:tcW w:w="1979" w:type="dxa"/>
          </w:tcPr>
          <w:p w:rsidR="00DD610B" w:rsidRDefault="00DD610B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тон</w:t>
            </w:r>
          </w:p>
        </w:tc>
      </w:tr>
      <w:tr w:rsidR="00DD610B" w:rsidTr="00037CA4">
        <w:tc>
          <w:tcPr>
            <w:tcW w:w="846" w:type="dxa"/>
          </w:tcPr>
          <w:p w:rsidR="00DD610B" w:rsidRDefault="00C6418F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819" w:type="dxa"/>
            <w:gridSpan w:val="2"/>
          </w:tcPr>
          <w:p w:rsidR="00DD610B" w:rsidRDefault="00037CA4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Енергодарська</w:t>
            </w:r>
            <w:r w:rsidR="00C6418F">
              <w:rPr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DD610B" w:rsidRDefault="00C6418F" w:rsidP="00037C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свинець-1</w:t>
            </w:r>
            <w:r w:rsidR="00037CA4">
              <w:rPr>
                <w:lang w:val="uk-UA"/>
              </w:rPr>
              <w:t>3</w:t>
            </w:r>
          </w:p>
        </w:tc>
        <w:tc>
          <w:tcPr>
            <w:tcW w:w="1979" w:type="dxa"/>
          </w:tcPr>
          <w:p w:rsidR="00DD610B" w:rsidRDefault="00037CA4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2,251</w:t>
            </w:r>
          </w:p>
        </w:tc>
      </w:tr>
      <w:tr w:rsidR="00C6418F" w:rsidTr="00037CA4">
        <w:tc>
          <w:tcPr>
            <w:tcW w:w="846" w:type="dxa"/>
          </w:tcPr>
          <w:p w:rsidR="00C6418F" w:rsidRDefault="00C6418F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819" w:type="dxa"/>
            <w:gridSpan w:val="2"/>
          </w:tcPr>
          <w:p w:rsidR="00C6418F" w:rsidRDefault="00037CA4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Ізмаїльська</w:t>
            </w:r>
            <w:r w:rsidR="00C6418F">
              <w:rPr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C6418F" w:rsidRDefault="00037CA4" w:rsidP="00037C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свинець</w:t>
            </w:r>
            <w:r w:rsidR="00C6418F">
              <w:rPr>
                <w:lang w:val="uk-UA"/>
              </w:rPr>
              <w:t>-1</w:t>
            </w:r>
            <w:r>
              <w:rPr>
                <w:lang w:val="uk-UA"/>
              </w:rPr>
              <w:t>3</w:t>
            </w:r>
          </w:p>
        </w:tc>
        <w:tc>
          <w:tcPr>
            <w:tcW w:w="1979" w:type="dxa"/>
          </w:tcPr>
          <w:p w:rsidR="00C6418F" w:rsidRDefault="00037CA4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0,635</w:t>
            </w:r>
          </w:p>
        </w:tc>
      </w:tr>
      <w:tr w:rsidR="00037CA4" w:rsidTr="00037CA4">
        <w:tc>
          <w:tcPr>
            <w:tcW w:w="846" w:type="dxa"/>
          </w:tcPr>
          <w:p w:rsidR="00037CA4" w:rsidRDefault="00037CA4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819" w:type="dxa"/>
            <w:gridSpan w:val="2"/>
          </w:tcPr>
          <w:p w:rsidR="00037CA4" w:rsidRDefault="00037CA4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Київ-Дніпровський виробничий підрозділ</w:t>
            </w:r>
          </w:p>
        </w:tc>
        <w:tc>
          <w:tcPr>
            <w:tcW w:w="1701" w:type="dxa"/>
          </w:tcPr>
          <w:p w:rsidR="00037CA4" w:rsidRDefault="00037CA4" w:rsidP="00037C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свинець-13</w:t>
            </w:r>
          </w:p>
        </w:tc>
        <w:tc>
          <w:tcPr>
            <w:tcW w:w="1979" w:type="dxa"/>
          </w:tcPr>
          <w:p w:rsidR="00037CA4" w:rsidRDefault="00037CA4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3,906</w:t>
            </w:r>
          </w:p>
        </w:tc>
      </w:tr>
      <w:tr w:rsidR="00037CA4" w:rsidTr="00037CA4">
        <w:tc>
          <w:tcPr>
            <w:tcW w:w="846" w:type="dxa"/>
          </w:tcPr>
          <w:p w:rsidR="00037CA4" w:rsidRDefault="00037CA4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819" w:type="dxa"/>
            <w:gridSpan w:val="2"/>
          </w:tcPr>
          <w:p w:rsidR="00037CA4" w:rsidRDefault="00037CA4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Київ-Петрівська філія</w:t>
            </w:r>
          </w:p>
        </w:tc>
        <w:tc>
          <w:tcPr>
            <w:tcW w:w="1701" w:type="dxa"/>
          </w:tcPr>
          <w:p w:rsidR="00037CA4" w:rsidRDefault="00037CA4" w:rsidP="00037C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свинець-13</w:t>
            </w:r>
          </w:p>
        </w:tc>
        <w:tc>
          <w:tcPr>
            <w:tcW w:w="1979" w:type="dxa"/>
          </w:tcPr>
          <w:p w:rsidR="00037CA4" w:rsidRDefault="00037CA4" w:rsidP="00013A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</w:tr>
      <w:tr w:rsidR="00037CA4" w:rsidTr="00037CA4">
        <w:tc>
          <w:tcPr>
            <w:tcW w:w="846" w:type="dxa"/>
          </w:tcPr>
          <w:p w:rsidR="00037CA4" w:rsidRDefault="00037CA4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819" w:type="dxa"/>
            <w:gridSpan w:val="2"/>
          </w:tcPr>
          <w:p w:rsidR="00037CA4" w:rsidRDefault="00037CA4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Миронівська філія</w:t>
            </w:r>
          </w:p>
        </w:tc>
        <w:tc>
          <w:tcPr>
            <w:tcW w:w="1701" w:type="dxa"/>
          </w:tcPr>
          <w:p w:rsidR="00037CA4" w:rsidRDefault="00037CA4" w:rsidP="00037C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свинець-13</w:t>
            </w:r>
          </w:p>
        </w:tc>
        <w:tc>
          <w:tcPr>
            <w:tcW w:w="1979" w:type="dxa"/>
          </w:tcPr>
          <w:p w:rsidR="00037CA4" w:rsidRDefault="00037CA4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</w:tr>
      <w:tr w:rsidR="00037CA4" w:rsidTr="00037CA4">
        <w:tc>
          <w:tcPr>
            <w:tcW w:w="846" w:type="dxa"/>
          </w:tcPr>
          <w:p w:rsidR="00037CA4" w:rsidRDefault="00037CA4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819" w:type="dxa"/>
            <w:gridSpan w:val="2"/>
          </w:tcPr>
          <w:p w:rsidR="00037CA4" w:rsidRDefault="00037CA4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Одеська філія</w:t>
            </w:r>
          </w:p>
        </w:tc>
        <w:tc>
          <w:tcPr>
            <w:tcW w:w="1701" w:type="dxa"/>
          </w:tcPr>
          <w:p w:rsidR="00037CA4" w:rsidRDefault="00037CA4" w:rsidP="00037C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свинець-13</w:t>
            </w:r>
          </w:p>
        </w:tc>
        <w:tc>
          <w:tcPr>
            <w:tcW w:w="1979" w:type="dxa"/>
          </w:tcPr>
          <w:p w:rsidR="00037CA4" w:rsidRDefault="00037CA4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3,123</w:t>
            </w:r>
          </w:p>
        </w:tc>
      </w:tr>
      <w:tr w:rsidR="00037CA4" w:rsidTr="00037CA4">
        <w:tc>
          <w:tcPr>
            <w:tcW w:w="846" w:type="dxa"/>
          </w:tcPr>
          <w:p w:rsidR="00037CA4" w:rsidRDefault="00037CA4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819" w:type="dxa"/>
            <w:gridSpan w:val="2"/>
          </w:tcPr>
          <w:p w:rsidR="00037CA4" w:rsidRDefault="00037CA4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Ольшанська філія</w:t>
            </w:r>
          </w:p>
        </w:tc>
        <w:tc>
          <w:tcPr>
            <w:tcW w:w="1701" w:type="dxa"/>
          </w:tcPr>
          <w:p w:rsidR="00037CA4" w:rsidRDefault="00037CA4" w:rsidP="00037C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свинець-13</w:t>
            </w:r>
          </w:p>
        </w:tc>
        <w:tc>
          <w:tcPr>
            <w:tcW w:w="1979" w:type="dxa"/>
          </w:tcPr>
          <w:p w:rsidR="00037CA4" w:rsidRDefault="00037CA4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0,782</w:t>
            </w:r>
          </w:p>
        </w:tc>
      </w:tr>
      <w:tr w:rsidR="00037CA4" w:rsidTr="00037CA4">
        <w:tc>
          <w:tcPr>
            <w:tcW w:w="846" w:type="dxa"/>
          </w:tcPr>
          <w:p w:rsidR="00037CA4" w:rsidRDefault="00037CA4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819" w:type="dxa"/>
            <w:gridSpan w:val="2"/>
          </w:tcPr>
          <w:p w:rsidR="00037CA4" w:rsidRDefault="00037CA4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Прилуцька філія</w:t>
            </w:r>
          </w:p>
        </w:tc>
        <w:tc>
          <w:tcPr>
            <w:tcW w:w="1701" w:type="dxa"/>
          </w:tcPr>
          <w:p w:rsidR="00037CA4" w:rsidRDefault="00037CA4" w:rsidP="00037C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свинець-13</w:t>
            </w:r>
          </w:p>
        </w:tc>
        <w:tc>
          <w:tcPr>
            <w:tcW w:w="1979" w:type="dxa"/>
          </w:tcPr>
          <w:p w:rsidR="00037CA4" w:rsidRDefault="00037CA4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0,046</w:t>
            </w:r>
          </w:p>
        </w:tc>
      </w:tr>
      <w:tr w:rsidR="00037CA4" w:rsidTr="00173E42">
        <w:tc>
          <w:tcPr>
            <w:tcW w:w="5665" w:type="dxa"/>
            <w:gridSpan w:val="3"/>
          </w:tcPr>
          <w:p w:rsidR="00037CA4" w:rsidRDefault="00037CA4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Початкова ціна лоту, грн</w:t>
            </w:r>
          </w:p>
        </w:tc>
        <w:tc>
          <w:tcPr>
            <w:tcW w:w="3680" w:type="dxa"/>
            <w:gridSpan w:val="2"/>
          </w:tcPr>
          <w:p w:rsidR="00037CA4" w:rsidRDefault="00037CA4" w:rsidP="00DD610B">
            <w:pPr>
              <w:jc w:val="center"/>
              <w:rPr>
                <w:lang w:val="uk-UA"/>
              </w:rPr>
            </w:pPr>
          </w:p>
        </w:tc>
      </w:tr>
    </w:tbl>
    <w:p w:rsidR="00DD610B" w:rsidRDefault="00DD610B" w:rsidP="00DD610B">
      <w:pPr>
        <w:spacing w:after="0"/>
        <w:jc w:val="center"/>
        <w:rPr>
          <w:lang w:val="uk-UA"/>
        </w:rPr>
      </w:pPr>
    </w:p>
    <w:p w:rsidR="008F0D55" w:rsidRDefault="00BF7D39" w:rsidP="008F0D55">
      <w:pPr>
        <w:spacing w:after="0"/>
        <w:jc w:val="both"/>
        <w:rPr>
          <w:lang w:val="uk-UA"/>
        </w:rPr>
      </w:pPr>
      <w:r>
        <w:rPr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BF7D39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Закрита початкова пропозиція (форма цінової пропозиції);</w:t>
      </w:r>
    </w:p>
    <w:p w:rsidR="00BF7D39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Копія статуту або іншого установчого документу;</w:t>
      </w:r>
    </w:p>
    <w:p w:rsidR="00BF7D39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  <w:r w:rsidR="002978DB">
        <w:rPr>
          <w:lang w:val="uk-UA"/>
        </w:rPr>
        <w:t>,</w:t>
      </w:r>
    </w:p>
    <w:p w:rsidR="00E621A2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E621A2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E621A2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E621A2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Лист-згода з проектом договору в довільній формі (на фірмовому бланку);</w:t>
      </w:r>
    </w:p>
    <w:p w:rsidR="002978DB" w:rsidRPr="00BF7D39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8F0D55" w:rsidRDefault="008F0D55" w:rsidP="00DD610B">
      <w:pPr>
        <w:spacing w:after="0"/>
        <w:jc w:val="center"/>
        <w:rPr>
          <w:lang w:val="uk-UA"/>
        </w:rPr>
      </w:pPr>
    </w:p>
    <w:p w:rsidR="00803656" w:rsidRDefault="00803656" w:rsidP="00DD610B">
      <w:pPr>
        <w:spacing w:after="0"/>
        <w:jc w:val="center"/>
        <w:rPr>
          <w:lang w:val="uk-UA"/>
        </w:rPr>
      </w:pPr>
    </w:p>
    <w:p w:rsidR="00803656" w:rsidRDefault="00803656" w:rsidP="00DD610B">
      <w:pPr>
        <w:spacing w:after="0"/>
        <w:jc w:val="center"/>
        <w:rPr>
          <w:lang w:val="uk-UA"/>
        </w:rPr>
      </w:pPr>
    </w:p>
    <w:p w:rsidR="00913BF2" w:rsidRDefault="00913BF2" w:rsidP="00803656">
      <w:pPr>
        <w:spacing w:after="0"/>
        <w:rPr>
          <w:lang w:val="uk-UA"/>
        </w:rPr>
      </w:pPr>
    </w:p>
    <w:p w:rsidR="00913BF2" w:rsidRDefault="00913BF2" w:rsidP="00803656">
      <w:pPr>
        <w:spacing w:after="0"/>
        <w:rPr>
          <w:lang w:val="uk-UA"/>
        </w:rPr>
      </w:pPr>
    </w:p>
    <w:p w:rsidR="00803656" w:rsidRDefault="00803656" w:rsidP="00803656">
      <w:pPr>
        <w:spacing w:after="0"/>
        <w:rPr>
          <w:lang w:val="uk-UA"/>
        </w:rPr>
      </w:pPr>
      <w:r>
        <w:rPr>
          <w:lang w:val="uk-UA"/>
        </w:rPr>
        <w:lastRenderedPageBreak/>
        <w:t>УМОВИ АУКЦІОНУ</w:t>
      </w:r>
    </w:p>
    <w:p w:rsidR="00803656" w:rsidRDefault="00803656" w:rsidP="00803656">
      <w:pPr>
        <w:spacing w:after="0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Організатор відкритих торгів (аукціону) 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Критерії оцінки  конкурсних пропозицій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Найвища ціна</w:t>
            </w: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10% від початкової вартості лоту </w:t>
            </w:r>
          </w:p>
        </w:tc>
      </w:tr>
      <w:tr w:rsidR="00803656" w:rsidRPr="00013A10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Юридичні та фізичні особи – підприємці </w:t>
            </w: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Крок аукціону 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1%</w:t>
            </w: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Для ознайомлення з активом необхідно подати заявку</w:t>
            </w: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803656" w:rsidRDefault="00803656" w:rsidP="001C528B">
            <w:pPr>
              <w:rPr>
                <w:lang w:val="uk-UA"/>
              </w:rPr>
            </w:pPr>
            <w:r>
              <w:rPr>
                <w:lang w:val="uk-UA"/>
              </w:rPr>
              <w:t xml:space="preserve">Точний час початку проведення аукціону по кожному лоту вказується на веб-сайті Організатора торгів </w:t>
            </w:r>
            <w:r w:rsidR="001C528B">
              <w:rPr>
                <w:lang w:val="uk-UA"/>
              </w:rPr>
              <w:t>після завершення прийому пропозицій</w:t>
            </w:r>
            <w:r>
              <w:rPr>
                <w:lang w:val="uk-UA"/>
              </w:rPr>
              <w:t xml:space="preserve"> </w:t>
            </w:r>
          </w:p>
        </w:tc>
      </w:tr>
      <w:tr w:rsidR="001C528B" w:rsidTr="00803656">
        <w:tc>
          <w:tcPr>
            <w:tcW w:w="3681" w:type="dxa"/>
          </w:tcPr>
          <w:p w:rsidR="001C528B" w:rsidRDefault="001C528B" w:rsidP="00803656">
            <w:pPr>
              <w:rPr>
                <w:lang w:val="uk-UA"/>
              </w:rPr>
            </w:pPr>
            <w:r>
              <w:rPr>
                <w:lang w:val="uk-UA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1C528B" w:rsidRDefault="001C528B" w:rsidP="001C528B">
            <w:pPr>
              <w:rPr>
                <w:lang w:val="uk-UA"/>
              </w:rPr>
            </w:pPr>
            <w:r>
              <w:rPr>
                <w:lang w:val="uk-UA"/>
              </w:rPr>
              <w:t>Дата прийому заяв відповідає даті публікації оголошення про аукціон.</w:t>
            </w:r>
          </w:p>
          <w:p w:rsidR="001C528B" w:rsidRDefault="001C528B" w:rsidP="001C528B">
            <w:pPr>
              <w:rPr>
                <w:lang w:val="uk-UA"/>
              </w:rPr>
            </w:pPr>
            <w:r>
              <w:rPr>
                <w:lang w:val="uk-UA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1C528B" w:rsidTr="00803656">
        <w:tc>
          <w:tcPr>
            <w:tcW w:w="3681" w:type="dxa"/>
          </w:tcPr>
          <w:p w:rsidR="001C528B" w:rsidRDefault="001C528B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1C528B" w:rsidRDefault="00753E34" w:rsidP="00753E34">
            <w:pPr>
              <w:rPr>
                <w:lang w:val="uk-UA"/>
              </w:rPr>
            </w:pPr>
            <w:r>
              <w:rPr>
                <w:lang w:val="uk-UA"/>
              </w:rPr>
              <w:t xml:space="preserve">Згідно тарифів </w:t>
            </w:r>
            <w:r w:rsidRPr="00753E34">
              <w:rPr>
                <w:lang w:val="uk-UA"/>
              </w:rPr>
              <w:t>«</w:t>
            </w:r>
            <w:r w:rsidRPr="00753E34">
              <w:rPr>
                <w:lang w:val="en-US"/>
              </w:rPr>
              <w:t>Prozorro</w:t>
            </w:r>
            <w:r w:rsidRPr="00753E34">
              <w:rPr>
                <w:lang w:val="uk-UA"/>
              </w:rPr>
              <w:t>»</w:t>
            </w:r>
          </w:p>
        </w:tc>
      </w:tr>
      <w:tr w:rsidR="001C528B" w:rsidTr="00803656">
        <w:tc>
          <w:tcPr>
            <w:tcW w:w="3681" w:type="dxa"/>
          </w:tcPr>
          <w:p w:rsidR="001C528B" w:rsidRDefault="001C528B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1C528B" w:rsidRDefault="001C528B" w:rsidP="001C528B">
            <w:pPr>
              <w:rPr>
                <w:lang w:val="uk-UA"/>
              </w:rPr>
            </w:pPr>
            <w:r>
              <w:rPr>
                <w:lang w:val="uk-UA"/>
              </w:rPr>
              <w:t xml:space="preserve">Гарантійний внесок може вважатися сплаченим із моменту його зарахування </w:t>
            </w:r>
            <w:r w:rsidR="001F1304">
              <w:rPr>
                <w:lang w:val="uk-UA"/>
              </w:rPr>
              <w:t>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803656" w:rsidRDefault="00803656" w:rsidP="00803656">
      <w:pPr>
        <w:spacing w:after="0"/>
        <w:rPr>
          <w:lang w:val="uk-UA"/>
        </w:rPr>
      </w:pPr>
    </w:p>
    <w:p w:rsidR="008F0D55" w:rsidRDefault="00E02280" w:rsidP="00E02280">
      <w:pPr>
        <w:spacing w:after="0"/>
        <w:jc w:val="both"/>
        <w:rPr>
          <w:lang w:val="uk-UA"/>
        </w:rPr>
      </w:pPr>
      <w:r>
        <w:rPr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</w:t>
      </w:r>
      <w:r w:rsidR="005057D5">
        <w:rPr>
          <w:lang w:val="uk-UA"/>
        </w:rPr>
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  <w:r>
        <w:rPr>
          <w:lang w:val="uk-UA"/>
        </w:rPr>
        <w:t xml:space="preserve"> </w:t>
      </w:r>
    </w:p>
    <w:p w:rsidR="00B9464C" w:rsidRDefault="00B9464C" w:rsidP="00E02280">
      <w:pPr>
        <w:spacing w:after="0"/>
        <w:jc w:val="both"/>
        <w:rPr>
          <w:lang w:val="uk-UA"/>
        </w:rPr>
      </w:pPr>
    </w:p>
    <w:p w:rsidR="00B9464C" w:rsidRDefault="00B9464C" w:rsidP="00E02280">
      <w:pPr>
        <w:spacing w:after="0"/>
        <w:jc w:val="both"/>
        <w:rPr>
          <w:b/>
          <w:lang w:val="uk-UA"/>
        </w:rPr>
      </w:pPr>
      <w:r w:rsidRPr="00B9464C">
        <w:rPr>
          <w:b/>
          <w:lang w:val="uk-UA"/>
        </w:rPr>
        <w:t xml:space="preserve">Умови дискваліфікації Учасника, що визначений переможцем електронного аукціону (підстави, що виключають можливість укладання договору </w:t>
      </w:r>
      <w:r w:rsidR="00932A64">
        <w:rPr>
          <w:b/>
          <w:lang w:val="uk-UA"/>
        </w:rPr>
        <w:t>поставки</w:t>
      </w:r>
      <w:r w:rsidRPr="00B9464C">
        <w:rPr>
          <w:b/>
          <w:lang w:val="uk-UA"/>
        </w:rPr>
        <w:t>):</w:t>
      </w:r>
    </w:p>
    <w:p w:rsidR="00221A88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 w:rsidRPr="008A5A64">
        <w:rPr>
          <w:lang w:val="uk-UA"/>
        </w:rPr>
        <w:t xml:space="preserve">Юридичні особи, власником будь-якої кількості акцій </w:t>
      </w:r>
      <w:r>
        <w:rPr>
          <w:lang w:val="uk-UA"/>
        </w:rPr>
        <w:t>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8A5A64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>
        <w:rPr>
          <w:lang w:val="en-US"/>
        </w:rPr>
        <w:t>FATF</w:t>
      </w:r>
      <w:r w:rsidRPr="008A5A64">
        <w:rPr>
          <w:lang w:val="uk-UA"/>
        </w:rPr>
        <w:t xml:space="preserve"> </w:t>
      </w:r>
      <w:r>
        <w:rPr>
          <w:lang w:val="uk-UA"/>
        </w:rPr>
        <w:t>до списку країн, що не співпрацюють у сфері протидії відмиванню доходів, одержаних злочинним шляхом;</w:t>
      </w:r>
    </w:p>
    <w:p w:rsidR="008A5A64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Наявність інформації щодо ознак здійснення Учасником незаконного підприємництва;</w:t>
      </w:r>
    </w:p>
    <w:p w:rsidR="008A5A64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Наявність інформації про факти здійснення Учасником (керівниками, засновниками юридичної особи, фізичною особою)</w:t>
      </w:r>
      <w:r w:rsidR="00D1708B">
        <w:rPr>
          <w:lang w:val="uk-UA"/>
        </w:rPr>
        <w:t xml:space="preserve"> шахрайських дій та інших злочинів відносно активів ПрАТ «Київ-Дніпровське МППЗТ» або їх причетність до таких дій;</w:t>
      </w:r>
    </w:p>
    <w:p w:rsidR="00D1708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Наявність інформації про факти порушення кримінальних справ відносно Учасника;</w:t>
      </w:r>
    </w:p>
    <w:p w:rsidR="00D1708B" w:rsidRPr="008A5A64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Наявність будь-якої інформації щодо Учасника, що може нести репутаційні ризики для ПрАТ «Київ-Дніпровське МППЗТ». </w:t>
      </w:r>
    </w:p>
    <w:sectPr w:rsidR="00D1708B" w:rsidRPr="008A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2"/>
    <w:rsid w:val="00013A10"/>
    <w:rsid w:val="00037CA4"/>
    <w:rsid w:val="001C528B"/>
    <w:rsid w:val="001F1304"/>
    <w:rsid w:val="00221A88"/>
    <w:rsid w:val="002978DB"/>
    <w:rsid w:val="002D6B8B"/>
    <w:rsid w:val="005057D5"/>
    <w:rsid w:val="00551D32"/>
    <w:rsid w:val="006F7C9C"/>
    <w:rsid w:val="00753E34"/>
    <w:rsid w:val="00803656"/>
    <w:rsid w:val="008A5A64"/>
    <w:rsid w:val="008B52C4"/>
    <w:rsid w:val="008D12DB"/>
    <w:rsid w:val="008F0D55"/>
    <w:rsid w:val="00913BF2"/>
    <w:rsid w:val="00932A64"/>
    <w:rsid w:val="00B9464C"/>
    <w:rsid w:val="00BA2645"/>
    <w:rsid w:val="00BF7D39"/>
    <w:rsid w:val="00C6418F"/>
    <w:rsid w:val="00D1708B"/>
    <w:rsid w:val="00DA517E"/>
    <w:rsid w:val="00DD610B"/>
    <w:rsid w:val="00E02280"/>
    <w:rsid w:val="00E621A2"/>
    <w:rsid w:val="00EE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86CB"/>
  <w15:chartTrackingRefBased/>
  <w15:docId w15:val="{6AFAC57F-D8D1-4FC8-A4D6-45A2855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Тарас Максимчук</cp:lastModifiedBy>
  <cp:revision>15</cp:revision>
  <dcterms:created xsi:type="dcterms:W3CDTF">2019-10-16T08:17:00Z</dcterms:created>
  <dcterms:modified xsi:type="dcterms:W3CDTF">2019-10-23T11:33:00Z</dcterms:modified>
</cp:coreProperties>
</file>