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</w:pP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ОГОЛОШЕННЯ</w:t>
      </w:r>
    </w:p>
    <w:p>
      <w:pPr>
        <w:pStyle w:val="Обычный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про передачу нерухомого майна в оренду на аукціоні</w:t>
      </w:r>
    </w:p>
    <w:p>
      <w:pPr>
        <w:pStyle w:val="Обычный"/>
      </w:pPr>
    </w:p>
    <w:tbl>
      <w:tblPr>
        <w:tblW w:w="934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598"/>
        <w:gridCol w:w="6750"/>
      </w:tblGrid>
      <w:tr>
        <w:tblPrEx>
          <w:shd w:val="clear" w:color="auto" w:fill="ced7e7"/>
        </w:tblPrEx>
        <w:trPr>
          <w:trHeight w:val="958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Назва аукціону</w:t>
              <w:tab/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Оренда нежитлових приміщень  площею 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157,0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кв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м за адресою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Київ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бульв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Висоцького Володимира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>, 11</w:t>
            </w: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  <w:t xml:space="preserve"> А</w:t>
            </w:r>
          </w:p>
        </w:tc>
      </w:tr>
      <w:tr>
        <w:tblPrEx>
          <w:shd w:val="clear" w:color="auto" w:fill="ced7e7"/>
        </w:tblPrEx>
        <w:trPr>
          <w:trHeight w:val="1674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Повне найменування та адреса орендодавця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Департамент комунальної власності 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Києва</w:t>
            </w:r>
          </w:p>
          <w:p>
            <w:pPr>
              <w:pStyle w:val="Обычный"/>
              <w:bidi w:val="0"/>
              <w:spacing w:after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код ЄДРПОУ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19020407 </w:t>
            </w:r>
          </w:p>
          <w:p>
            <w:pPr>
              <w:pStyle w:val="Обычный"/>
              <w:bidi w:val="0"/>
              <w:spacing w:after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місцезнаходження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Хрещатик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10,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01001 </w:t>
            </w:r>
          </w:p>
          <w:p>
            <w:pPr>
              <w:pStyle w:val="Обычный"/>
              <w:bidi w:val="0"/>
              <w:spacing w:after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.(044) 202-61-77 e-mail: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gukv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gukv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.gov.ua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Повне найменування та адреса балансоутримувача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Комунальне підприємство «Київтеплоенерго»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код ЄДРПОУ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40538421,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місцезнаходження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вул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Франка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5,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 01001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Інформація про об’єкт оренди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нежитлові приміщення загальною площею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157,0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що розташовані за адресою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Київ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бульв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Висоцького Володимира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 11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 А та обліковуються на балансі КП «Київтеплоенерго»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Тип переліку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перший</w:t>
            </w:r>
          </w:p>
        </w:tc>
      </w:tr>
      <w:tr>
        <w:tblPrEx>
          <w:shd w:val="clear" w:color="auto" w:fill="ced7e7"/>
        </w:tblPrEx>
        <w:trPr>
          <w:trHeight w:val="1243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Вартість об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'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єкта оренди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залишкова балансова вартість об’єкта оренди станом на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30.06.2020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512483,87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грн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первісна балансова вартість об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'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єкта оренди станом на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30.06.2020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633719,39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грн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Тип об’єкта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нерухоме майно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Пропонований строк оренди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років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Інформація про отримання погодження органу управління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Не потребує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Фотографічне зображення майна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додається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Місцезнаходження об’єкта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;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бульв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Висоцького Володимира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, 11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en-US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 А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Загальна і корисна площа об’єкта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загальна –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157,0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корисна –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134,4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Характеристика об’єкта оренди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Нежитлові приміщення на першому поверсі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Технічний стан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інформація про потужність електромережі і забезпечення комунікаціями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Потребує поточного ремонту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Потужність електромережі –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приєднана потужність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до 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20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кВт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 xml:space="preserve"> водопостачання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теплопостачання</w:t>
            </w:r>
            <w:r>
              <w:rPr>
                <w:rFonts w:ascii="Times New Roman" w:hAnsi="Times New Roman"/>
                <w:sz w:val="22"/>
                <w:szCs w:val="22"/>
                <w:shd w:val="nil" w:color="auto" w:fill="auto"/>
                <w:rtl w:val="0"/>
              </w:rPr>
              <w:t xml:space="preserve">,, </w:t>
            </w:r>
            <w:r>
              <w:rPr>
                <w:rFonts w:ascii="Times New Roman" w:hAnsi="Times New Roman" w:hint="default"/>
                <w:sz w:val="22"/>
                <w:szCs w:val="22"/>
                <w:shd w:val="nil" w:color="auto" w:fill="auto"/>
                <w:rtl w:val="0"/>
              </w:rPr>
              <w:t>газопостачання – відсутні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Поверховий план об’єкта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додається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Інформація про те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що об’єктом оренди є пам’ятка культурної спадщини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щойно виявлений об’єкт культурної спадщини чи його частина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об’єкт не є пам’яткою культурної спадщини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Наявність погодження органу охорони культурної спадщини на передачу об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'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єкта в оренду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не потребує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120"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Інформація про наявність рішень про проведення інвестиційного конкурсу або про включення об’єкта до переліку майна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що підлягає приватизації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Рішення про проведення інвестиційного конкурсу не приймалось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Не включено до переліку майна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що підлягає приватизації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Проект договору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додається до оголошення про передачу нерухомого майна в оренду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Умови та додаткові умови оренди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Строк оренди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5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років</w:t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Стартова орендна плата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5124,84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п’ять тисяч сто двадцять чотири 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84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без урахування ПДВ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для електронного аукціону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;</w:t>
            </w:r>
          </w:p>
          <w:p>
            <w:pPr>
              <w:pStyle w:val="Обычный"/>
              <w:bidi w:val="0"/>
              <w:spacing w:after="0" w:line="240" w:lineRule="auto"/>
              <w:ind w:left="34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2562,42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дві тисячі п’ятсот шістдесят дві 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42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без урахування ПДВ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для електронного аукціону із зниженням стартової ціни</w:t>
            </w:r>
          </w:p>
          <w:p>
            <w:pPr>
              <w:pStyle w:val="Обычный"/>
              <w:bidi w:val="0"/>
              <w:spacing w:after="0" w:line="240" w:lineRule="auto"/>
              <w:ind w:left="34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2562,42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дві тисячі п’ятсот шістдесят дві грн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42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),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без урахування ПДВ – для електронного аукціону за методом покрокового зниження стартової орендної плати та подальшого подання цінових пропозицій</w:t>
            </w:r>
          </w:p>
        </w:tc>
      </w:tr>
      <w:tr>
        <w:tblPrEx>
          <w:shd w:val="clear" w:color="auto" w:fill="ced7e7"/>
        </w:tblPrEx>
        <w:trPr>
          <w:trHeight w:val="3526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Інформація про цільове призначення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Майно може бути використане за цільовим призначенням на розсуд Орендаря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 винятком таких цільових призначень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:</w:t>
            </w:r>
          </w:p>
          <w:p>
            <w:pPr>
              <w:pStyle w:val="Нормальний текст"/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Заклади харчування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кафе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бари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ресторани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які здійснюють продаж товарів підакцизної групи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Торговельні об’єкти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які здійснюють продаж товарів підакцизної групи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  <w:p>
            <w:pPr>
              <w:pStyle w:val="Нормальний текст"/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Нічні клуби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Ресторани з нічним режимом роботи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після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22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.).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Сауни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лазні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Організація концертів та іншої видовищно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розважальної діяльності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Готелі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хостели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турбази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мотелі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кемпінги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літні будиночки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Комп’ютерні клуби та Інтернет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кафе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  <w:p>
            <w:pPr>
              <w:pStyle w:val="Нормальний текст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3.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Збір і сортування вторинної сировини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Обмеження щодо цільового призначення об’єкта оренди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встановлені відповідно до 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29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Порядку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59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Відсутні 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Письмова згода на передачу майна в суборенду відповідно до 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169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Порядку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284"/>
              </w:tabs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Майно передається в оренду з правом передачі в суборенду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 умови зобов’язання суборендаря та орендаря щодо відображення в договорі суборенди цільового використання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 яким об’єкт буде використовуватися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а при зміні на будь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яке інше використання суборендар повинен повідомляти про таку зміну орендаря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а орендар у свою чергу орендодавця та балансоутримувача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ind w:left="34" w:firstLine="0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Вимоги до орендаря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Потенційний орендар повинен відповідати вимогам до особи орендаря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визначеним статтею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4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Закону України «Про оренду державного та комунального майна»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Контактні дані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номер телефону і адреса електронної пошти працівника балансоутримувача для звернень про ознайомлення з об’єктом оренди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Корнієнко Антон Миколайович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тел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044-207-61-56,</w:t>
            </w: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ет"/>
                <w:outline w:val="0"/>
                <w:color w:val="0000ff"/>
                <w:u w:val="single" w:color="0000ff"/>
                <w:shd w:val="nil" w:color="auto" w:fill="auto"/>
                <w:rtl w:val="0"/>
                <w14:textFill>
                  <w14:solidFill>
                    <w14:srgbClr w14:val="0000FF"/>
                  </w14:solidFill>
                </w14:textFill>
              </w:rPr>
            </w:pPr>
            <w:r>
              <w:rPr>
                <w:rStyle w:val="Hyperlink.0"/>
                <w:rFonts w:ascii="Courier New" w:cs="Courier New" w:hAnsi="Courier New" w:eastAsia="Courier New"/>
                <w:outline w:val="0"/>
                <w:color w:val="0000ff"/>
                <w:sz w:val="23"/>
                <w:szCs w:val="23"/>
                <w:u w:val="single" w:color="0000ff"/>
                <w:shd w:val="nil" w:color="auto" w:fill="auto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Courier New" w:cs="Courier New" w:hAnsi="Courier New" w:eastAsia="Courier New"/>
                <w:outline w:val="0"/>
                <w:color w:val="0000ff"/>
                <w:sz w:val="23"/>
                <w:szCs w:val="23"/>
                <w:u w:val="single" w:color="0000ff"/>
                <w:shd w:val="nil" w:color="auto" w:fill="auto"/>
                <w14:textFill>
                  <w14:solidFill>
                    <w14:srgbClr w14:val="0000FF"/>
                  </w14:solidFill>
                </w14:textFill>
              </w:rPr>
              <w:instrText xml:space="preserve"> HYPERLINK "mailto:korniienko.am@kte.kmda.gov.ua%2520"</w:instrText>
            </w:r>
            <w:r>
              <w:rPr>
                <w:rStyle w:val="Hyperlink.0"/>
                <w:rFonts w:ascii="Courier New" w:cs="Courier New" w:hAnsi="Courier New" w:eastAsia="Courier New"/>
                <w:outline w:val="0"/>
                <w:color w:val="0000ff"/>
                <w:sz w:val="23"/>
                <w:szCs w:val="23"/>
                <w:u w:val="single" w:color="0000ff"/>
                <w:shd w:val="nil" w:color="auto" w:fill="auto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Courier New" w:hAnsi="Courier New"/>
                <w:outline w:val="0"/>
                <w:color w:val="0000ff"/>
                <w:sz w:val="23"/>
                <w:szCs w:val="23"/>
                <w:u w:val="single" w:color="0000ff"/>
                <w:shd w:val="nil" w:color="auto" w:fill="auto"/>
                <w:rtl w:val="0"/>
                <w14:textFill>
                  <w14:solidFill>
                    <w14:srgbClr w14:val="0000FF"/>
                  </w14:solidFill>
                </w14:textFill>
              </w:rPr>
              <w:t>korniienko.am@kte.kmda.gov.ua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/>
                <w:outline w:val="0"/>
                <w:color w:val="0000ff"/>
                <w:sz w:val="24"/>
                <w:szCs w:val="24"/>
                <w:u w:val="single" w:color="0000ff"/>
                <w:shd w:val="nil" w:color="auto" w:fill="auto"/>
                <w:rtl w:val="0"/>
                <w14:textFill>
                  <w14:solidFill>
                    <w14:srgbClr w14:val="0000FF"/>
                  </w14:solidFill>
                </w14:textFill>
              </w:rPr>
              <w:t xml:space="preserve">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clear" w:color="auto" w:fill="ffff00"/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Інформація про аукціон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спосіб та дата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Кінцевий строк подання заяви  на участь в аукціоні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що визначається з урахуванням вимог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установленим Порядком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дата  аукціону «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4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» листопада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2020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Час проведення аукціону встановлюється електронною торговою системою відповідно до вимог Порядку проведення електронних аукціонів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Кінцевий строк подання заяви на участь в аукціоні                                «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  <w:lang w:val="ru-RU"/>
              </w:rPr>
              <w:t>23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» листопада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2020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р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встановлюється електронною торговою системою для кожного електронного аукціону окремо в проміжку часу з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19-30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до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20-30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години дня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що передує дню проведення електронного аукціону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30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Інформація про умови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на яких проводиться аукціон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: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розмір мінімального кроку підвищення стартової орендної плати під час аукціону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1%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стартової орендної плати –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51,25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                  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п’ятдесят одна грн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25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);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Розмір гарантійного внеску –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16500,70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шістнадцять тисяч п’ятсот грн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70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);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Розмір реєстраційного внеску –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472,30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грн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чотириста сімдесят дві грн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30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коп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);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Кількість кроків аукціону за методом покрокового зниження стартової орендної плати та подальшого подання цінових пропозицій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- 99.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Додаткова інформація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  <w:spacing w:before="0" w:after="0"/>
              <w:jc w:val="both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</w:rPr>
              <w:t>реквізити  розрахунків операторів ЕМ за посиланням на сторінку вебсайта адміністратора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</w:rPr>
              <w:t>на якій зазначені реквізити таких рахунків</w:t>
            </w:r>
            <w:r>
              <w:rPr>
                <w:rStyle w:val="Нет"/>
                <w:rFonts w:ascii="Times New Roman" w:cs="Times New Roman" w:hAnsi="Times New Roman" w:eastAsia="Times New Roman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Інша додаткова інформація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Орендар зобов’язаний відшкодовувати балансоутримувачу відповідну частину його витрат зі сплати плати за користування земельною ділянкою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комунальних послуг відповідно до положень Цивільного та Податкового кодексів України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Технічні реквізити оголошення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Період між аукціоном та аукціоном із зниженням стартової ціни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(20-35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календарних днів з дати оприлюднення оголошення електронною торговою системою про передачу майна в оренду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).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Єдине посилання на веб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сторінку адміністратора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на якій є посилання в алфавітному порядку на веб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сторінки операторів електронного майданчика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які мають 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25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Реквізити для сплати реєстраційного  внеску </w:t>
            </w:r>
          </w:p>
        </w:tc>
        <w:tc>
          <w:tcPr>
            <w:tcW w:type="dxa" w:w="6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Одержувач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</w:rPr>
              <w:t>Департамент комунальної власності 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u w:val="single"/>
                <w:shd w:val="nil" w:color="auto" w:fill="auto"/>
                <w:rtl w:val="0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</w:rPr>
              <w:t>Києва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Рахунок №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u w:val="single"/>
                <w:shd w:val="nil" w:color="auto" w:fill="auto"/>
                <w:rtl w:val="0"/>
              </w:rPr>
              <w:t>UA528201720355249003000024278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 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для перерахування реєстраційного внеску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>)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>Банк одержувача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</w:rPr>
              <w:t xml:space="preserve">: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u w:val="single"/>
                <w:shd w:val="nil" w:color="auto" w:fill="auto"/>
                <w:rtl w:val="0"/>
              </w:rPr>
              <w:t>Державна казначейська служба України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МФО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u w:val="single"/>
                <w:shd w:val="nil" w:color="auto" w:fill="auto"/>
                <w:rtl w:val="0"/>
              </w:rPr>
              <w:t>820172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</w:rPr>
              <w:t xml:space="preserve">Код згідно з ЄДРПОУ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u w:val="single"/>
                <w:shd w:val="nil" w:color="auto" w:fill="auto"/>
                <w:rtl w:val="0"/>
              </w:rPr>
              <w:t>19020407</w:t>
            </w:r>
            <w:r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r>
          </w:p>
        </w:tc>
      </w:tr>
    </w:tbl>
    <w:p>
      <w:pPr>
        <w:pStyle w:val="Обычный"/>
        <w:widowControl w:val="0"/>
        <w:spacing w:line="240" w:lineRule="auto"/>
      </w:pPr>
      <w:r/>
    </w:p>
    <w:sectPr>
      <w:headerReference w:type="default" r:id="rId4"/>
      <w:footerReference w:type="default" r:id="rId5"/>
      <w:pgSz w:w="11900" w:h="16840" w:orient="portrait"/>
      <w:pgMar w:top="425" w:right="851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Antiqu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Нормальний текст">
    <w:name w:val="Нормальний текст"/>
    <w:next w:val="Нормальни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567"/>
      <w:jc w:val="left"/>
      <w:outlineLvl w:val="9"/>
    </w:pPr>
    <w:rPr>
      <w:rFonts w:ascii="Antiqua" w:cs="Antiqua" w:hAnsi="Antiqua" w:eastAsia="Antiqu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Courier New" w:cs="Courier New" w:hAnsi="Courier New" w:eastAsia="Courier New"/>
      <w:sz w:val="23"/>
      <w:szCs w:val="23"/>
      <w:shd w:val="nil" w:color="auto" w:fill="auto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