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05"/>
        </w:tabs>
        <w:spacing w:after="0" w:line="240" w:lineRule="auto"/>
        <w:jc w:val="center"/>
        <w:rPr>
          <w:rFonts w:ascii="Times New Roman" w:hAnsi="Times New Roman" w:eastAsia="Calibri" w:cs="Times New Roman"/>
          <w:b/>
          <w:bCs/>
          <w:sz w:val="28"/>
          <w:szCs w:val="28"/>
          <w:lang w:val="uk-UA" w:eastAsia="ru-RU"/>
        </w:rPr>
      </w:pPr>
      <w:r>
        <w:rPr>
          <w:rFonts w:ascii="Times New Roman" w:hAnsi="Times New Roman" w:eastAsia="Calibri" w:cs="Times New Roman"/>
          <w:b/>
          <w:bCs/>
          <w:sz w:val="28"/>
          <w:szCs w:val="28"/>
          <w:lang w:val="uk-UA" w:eastAsia="ru-RU"/>
        </w:rPr>
        <w:t>договір</w:t>
      </w:r>
    </w:p>
    <w:p>
      <w:pPr>
        <w:tabs>
          <w:tab w:val="left" w:pos="2805"/>
        </w:tabs>
        <w:spacing w:after="0" w:line="240" w:lineRule="auto"/>
        <w:jc w:val="center"/>
        <w:rPr>
          <w:rFonts w:ascii="Times New Roman" w:hAnsi="Times New Roman" w:cs="Times New Roman"/>
          <w:b/>
          <w:sz w:val="28"/>
          <w:szCs w:val="28"/>
        </w:rPr>
      </w:pPr>
      <w:r>
        <w:rPr>
          <w:rFonts w:ascii="Times New Roman" w:hAnsi="Times New Roman" w:eastAsia="Calibri" w:cs="Times New Roman"/>
          <w:b/>
          <w:bCs/>
          <w:sz w:val="28"/>
          <w:szCs w:val="28"/>
          <w:lang w:val="uk-UA" w:eastAsia="ru-RU"/>
        </w:rPr>
        <w:t>оренди нерухомого або іншого окремого індивідуально визначеного комунального майна Решетилівської міської територіальної громади</w:t>
      </w:r>
    </w:p>
    <w:p>
      <w:pPr>
        <w:keepNext/>
        <w:keepLines/>
        <w:spacing w:before="120" w:after="12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en-US" w:eastAsia="ru-RU"/>
        </w:rPr>
        <w:t>I</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val="uk-UA" w:eastAsia="ru-RU"/>
        </w:rPr>
        <w:t xml:space="preserve">Змінювані умови договору (далі </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val="uk-UA" w:eastAsia="ru-RU"/>
        </w:rPr>
        <w:t>Умови)</w:t>
      </w:r>
    </w:p>
    <w:p>
      <w:pPr>
        <w:spacing w:before="120" w:after="0" w:line="240" w:lineRule="auto"/>
        <w:rPr>
          <w:rFonts w:ascii="Antiqua" w:hAnsi="Antiqua" w:eastAsia="Times New Roman" w:cs="Times New Roman"/>
          <w:sz w:val="26"/>
          <w:szCs w:val="20"/>
          <w:lang w:eastAsia="ru-RU"/>
        </w:rPr>
      </w:pPr>
    </w:p>
    <w:tbl>
      <w:tblPr>
        <w:tblStyle w:val="3"/>
        <w:tblW w:w="10605" w:type="dxa"/>
        <w:tblInd w:w="-601" w:type="dxa"/>
        <w:tblLayout w:type="fixed"/>
        <w:tblCellMar>
          <w:top w:w="0" w:type="dxa"/>
          <w:left w:w="108" w:type="dxa"/>
          <w:bottom w:w="0" w:type="dxa"/>
          <w:right w:w="108" w:type="dxa"/>
        </w:tblCellMar>
      </w:tblPr>
      <w:tblGrid>
        <w:gridCol w:w="770"/>
        <w:gridCol w:w="17"/>
        <w:gridCol w:w="2051"/>
        <w:gridCol w:w="1157"/>
        <w:gridCol w:w="146"/>
        <w:gridCol w:w="1300"/>
        <w:gridCol w:w="1327"/>
        <w:gridCol w:w="467"/>
        <w:gridCol w:w="6"/>
        <w:gridCol w:w="372"/>
        <w:gridCol w:w="245"/>
        <w:gridCol w:w="84"/>
        <w:gridCol w:w="1221"/>
        <w:gridCol w:w="1442"/>
      </w:tblGrid>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Найменування населеного пункту </w:t>
            </w:r>
          </w:p>
        </w:tc>
        <w:tc>
          <w:tcPr>
            <w:tcW w:w="7767" w:type="dxa"/>
            <w:gridSpan w:val="11"/>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w:t>
            </w:r>
          </w:p>
        </w:tc>
      </w:tr>
      <w:tr>
        <w:tblPrEx>
          <w:tblCellMar>
            <w:top w:w="0" w:type="dxa"/>
            <w:left w:w="108" w:type="dxa"/>
            <w:bottom w:w="0" w:type="dxa"/>
            <w:right w:w="108" w:type="dxa"/>
          </w:tblCellMar>
        </w:tblPrEx>
        <w:trPr>
          <w:trHeight w:val="320" w:hRule="atLeast"/>
        </w:trPr>
        <w:tc>
          <w:tcPr>
            <w:tcW w:w="787" w:type="dxa"/>
            <w:gridSpan w:val="2"/>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2</w:t>
            </w:r>
          </w:p>
        </w:tc>
        <w:tc>
          <w:tcPr>
            <w:tcW w:w="2051" w:type="dxa"/>
            <w:tcBorders>
              <w:top w:val="nil"/>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w:t>
            </w:r>
          </w:p>
        </w:tc>
        <w:tc>
          <w:tcPr>
            <w:tcW w:w="7767" w:type="dxa"/>
            <w:gridSpan w:val="11"/>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w:t>
            </w:r>
          </w:p>
        </w:tc>
      </w:tr>
      <w:tr>
        <w:tblPrEx>
          <w:tblCellMar>
            <w:top w:w="0" w:type="dxa"/>
            <w:left w:w="108" w:type="dxa"/>
            <w:bottom w:w="0" w:type="dxa"/>
            <w:right w:w="108" w:type="dxa"/>
          </w:tblCellMar>
        </w:tblPrEx>
        <w:trPr>
          <w:trHeight w:val="2860" w:hRule="atLeast"/>
        </w:trPr>
        <w:tc>
          <w:tcPr>
            <w:tcW w:w="787" w:type="dxa"/>
            <w:gridSpan w:val="2"/>
            <w:tcBorders>
              <w:top w:val="nil"/>
              <w:left w:val="single" w:color="000000" w:sz="4" w:space="0"/>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w:t>
            </w:r>
          </w:p>
        </w:tc>
        <w:tc>
          <w:tcPr>
            <w:tcW w:w="2051"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Сторони</w:t>
            </w:r>
          </w:p>
        </w:tc>
        <w:tc>
          <w:tcPr>
            <w:tcW w:w="1303" w:type="dxa"/>
            <w:gridSpan w:val="2"/>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Наймену</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вання</w:t>
            </w:r>
          </w:p>
        </w:tc>
        <w:tc>
          <w:tcPr>
            <w:tcW w:w="1300" w:type="dxa"/>
            <w:tcBorders>
              <w:top w:val="nil"/>
              <w:left w:val="nil"/>
              <w:bottom w:val="single" w:color="000000" w:sz="4" w:space="0"/>
              <w:right w:val="single" w:color="000000" w:sz="4" w:space="0"/>
            </w:tcBorders>
            <w:vAlign w:val="center"/>
          </w:tcPr>
          <w:p>
            <w:pPr>
              <w:spacing w:before="120" w:after="0" w:line="240" w:lineRule="auto"/>
              <w:ind w:right="-8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Адреса місцезнахо-дження</w:t>
            </w:r>
          </w:p>
        </w:tc>
        <w:tc>
          <w:tcPr>
            <w:tcW w:w="1174" w:type="dxa"/>
            <w:gridSpan w:val="5"/>
            <w:tcBorders>
              <w:top w:val="nil"/>
              <w:left w:val="nil"/>
              <w:bottom w:val="single" w:color="000000" w:sz="4" w:space="0"/>
              <w:right w:val="single" w:color="000000" w:sz="4" w:space="0"/>
            </w:tcBorders>
            <w:vAlign w:val="center"/>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Прізвище, ім’я, по батькові (за наявності) особи, що підписала договір</w:t>
            </w:r>
          </w:p>
        </w:tc>
        <w:tc>
          <w:tcPr>
            <w:tcW w:w="1221"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Посада особи, що підписала договір</w:t>
            </w:r>
          </w:p>
        </w:tc>
        <w:tc>
          <w:tcPr>
            <w:tcW w:w="1442"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Посилання на документ, який надає повноважен-ня на підписання договору (статут, положення, наказ, довіреність тощо)</w:t>
            </w: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3.1.</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val="uk-UA" w:eastAsia="ru-RU"/>
              </w:rPr>
              <w:t>Орендодавець</w:t>
            </w:r>
            <w:r>
              <w:rPr>
                <w:rFonts w:ascii="Times New Roman" w:hAnsi="Times New Roman" w:eastAsia="Times New Roman" w:cs="Times New Roman"/>
                <w:color w:val="000000"/>
                <w:lang w:eastAsia="ru-RU"/>
              </w:rPr>
              <w:t>(балансоутримувач)</w:t>
            </w:r>
          </w:p>
        </w:tc>
        <w:tc>
          <w:tcPr>
            <w:tcW w:w="1303"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0"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27"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174"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22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442"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3.1.1</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Адреса електронної пошти Орендодавця, на яку надсилаються офіційні повідомленням за цим договором</w:t>
            </w:r>
          </w:p>
        </w:tc>
        <w:tc>
          <w:tcPr>
            <w:tcW w:w="5164" w:type="dxa"/>
            <w:gridSpan w:val="8"/>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3.2</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Орендар</w:t>
            </w:r>
          </w:p>
        </w:tc>
        <w:tc>
          <w:tcPr>
            <w:tcW w:w="1303"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0"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27"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09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5"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442"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3.2.1</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lang w:val="uk-UA" w:eastAsia="ru-RU"/>
              </w:rPr>
            </w:pPr>
            <w:r>
              <w:rPr>
                <w:rFonts w:ascii="Times New Roman" w:hAnsi="Times New Roman" w:eastAsia="Times New Roman" w:cs="Times New Roman"/>
                <w:color w:val="000000"/>
                <w:lang w:val="uk-UA" w:eastAsia="ru-RU"/>
              </w:rPr>
              <w:t xml:space="preserve">Адреса електронної пошти Орендаря, на яку </w:t>
            </w:r>
            <w:r>
              <w:rPr>
                <w:rFonts w:ascii="Times New Roman" w:hAnsi="Times New Roman" w:eastAsia="Times New Roman" w:cs="Times New Roman"/>
                <w:lang w:val="uk-UA" w:eastAsia="ru-RU"/>
              </w:rPr>
              <w:t xml:space="preserve">надсилаються офіційні повідомленням за цим договором </w:t>
            </w:r>
          </w:p>
        </w:tc>
        <w:tc>
          <w:tcPr>
            <w:tcW w:w="5164" w:type="dxa"/>
            <w:gridSpan w:val="8"/>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 </w:t>
            </w: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3.2.2</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eastAsia="Times New Roman" w:cs="Times New Roman"/>
                <w:vertAlign w:val="superscript"/>
                <w:lang w:val="uk-UA" w:eastAsia="ru-RU"/>
              </w:rPr>
              <w:t>1</w:t>
            </w:r>
          </w:p>
        </w:tc>
        <w:tc>
          <w:tcPr>
            <w:tcW w:w="5164" w:type="dxa"/>
            <w:gridSpan w:val="8"/>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3.3</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Балансоутримувач</w:t>
            </w:r>
          </w:p>
        </w:tc>
        <w:tc>
          <w:tcPr>
            <w:tcW w:w="1303"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0"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27"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09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5"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442"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3.3.1</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Адреса електронної пошти Балансоутримувача, на яку надсилаються офіційні повідомлення за цим договором</w:t>
            </w:r>
          </w:p>
        </w:tc>
        <w:tc>
          <w:tcPr>
            <w:tcW w:w="5164" w:type="dxa"/>
            <w:gridSpan w:val="8"/>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Об’єкт оренди та склад майна (далі </w:t>
            </w:r>
            <w:r>
              <w:rPr>
                <w:rFonts w:ascii="Times New Roman" w:hAnsi="Times New Roman" w:eastAsia="Times New Roman" w:cs="Times New Roman"/>
                <w:color w:val="000000"/>
                <w:lang w:eastAsia="ru-RU"/>
              </w:rPr>
              <w:t xml:space="preserve">- </w:t>
            </w:r>
            <w:r>
              <w:rPr>
                <w:rFonts w:ascii="Times New Roman" w:hAnsi="Times New Roman" w:eastAsia="Times New Roman" w:cs="Times New Roman"/>
                <w:color w:val="000000"/>
                <w:lang w:val="uk-UA" w:eastAsia="ru-RU"/>
              </w:rPr>
              <w:t>Майно)</w:t>
            </w:r>
          </w:p>
        </w:tc>
      </w:tr>
      <w:tr>
        <w:tblPrEx>
          <w:tblCellMar>
            <w:top w:w="0" w:type="dxa"/>
            <w:left w:w="108" w:type="dxa"/>
            <w:bottom w:w="0" w:type="dxa"/>
            <w:right w:w="108" w:type="dxa"/>
          </w:tblCellMar>
        </w:tblPrEx>
        <w:trPr>
          <w:trHeight w:val="320" w:hRule="atLeast"/>
        </w:trPr>
        <w:tc>
          <w:tcPr>
            <w:tcW w:w="770" w:type="dxa"/>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4.1</w:t>
            </w:r>
          </w:p>
        </w:tc>
        <w:tc>
          <w:tcPr>
            <w:tcW w:w="3225" w:type="dxa"/>
            <w:gridSpan w:val="3"/>
            <w:tcBorders>
              <w:top w:val="nil"/>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Інформація про об’єкт оренди</w:t>
            </w:r>
            <w:r>
              <w:rPr>
                <w:rFonts w:ascii="Times New Roman" w:hAnsi="Times New Roman" w:eastAsia="Times New Roman" w:cs="Times New Roman"/>
                <w:color w:val="000000"/>
                <w:lang w:val="en-US" w:eastAsia="ru-RU"/>
              </w:rPr>
              <w:t>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нерухоме майно</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w:t>
            </w:r>
          </w:p>
        </w:tc>
      </w:tr>
      <w:tr>
        <w:tblPrEx>
          <w:tblCellMar>
            <w:top w:w="0" w:type="dxa"/>
            <w:left w:w="108" w:type="dxa"/>
            <w:bottom w:w="0" w:type="dxa"/>
            <w:right w:w="108" w:type="dxa"/>
          </w:tblCellMar>
        </w:tblPrEx>
        <w:trPr>
          <w:trHeight w:val="320" w:hRule="atLeast"/>
        </w:trPr>
        <w:tc>
          <w:tcPr>
            <w:tcW w:w="10605" w:type="dxa"/>
            <w:gridSpan w:val="14"/>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4.1</w:t>
            </w:r>
          </w:p>
        </w:tc>
        <w:tc>
          <w:tcPr>
            <w:tcW w:w="3225" w:type="dxa"/>
            <w:gridSpan w:val="3"/>
            <w:tcBorders>
              <w:top w:val="single" w:color="auto"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Інформація про об’єкт оренди</w:t>
            </w:r>
            <w:r>
              <w:rPr>
                <w:rFonts w:ascii="Times New Roman" w:hAnsi="Times New Roman" w:eastAsia="Times New Roman" w:cs="Times New Roman"/>
                <w:color w:val="000000"/>
                <w:lang w:val="en-US" w:eastAsia="ru-RU"/>
              </w:rPr>
              <w:t>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індивідуально визначене майно</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w:t>
            </w:r>
          </w:p>
        </w:tc>
      </w:tr>
      <w:tr>
        <w:tblPrEx>
          <w:tblCellMar>
            <w:top w:w="0" w:type="dxa"/>
            <w:left w:w="108" w:type="dxa"/>
            <w:bottom w:w="0" w:type="dxa"/>
            <w:right w:w="108" w:type="dxa"/>
          </w:tblCellMar>
        </w:tblPrEx>
        <w:trPr>
          <w:trHeight w:val="320" w:hRule="atLeast"/>
        </w:trPr>
        <w:tc>
          <w:tcPr>
            <w:tcW w:w="770" w:type="dxa"/>
            <w:tcBorders>
              <w:top w:val="nil"/>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4.2</w:t>
            </w:r>
          </w:p>
        </w:tc>
        <w:tc>
          <w:tcPr>
            <w:tcW w:w="9835" w:type="dxa"/>
            <w:gridSpan w:val="13"/>
            <w:tcBorders>
              <w:top w:val="nil"/>
              <w:left w:val="nil"/>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eastAsia="Times New Roman" w:cs="Times New Roman"/>
                <w:color w:val="000000"/>
                <w:lang w:val="uk-UA" w:eastAsia="ru-RU"/>
              </w:rPr>
              <w:t xml:space="preserve">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w:t>
            </w:r>
          </w:p>
        </w:tc>
      </w:tr>
      <w:tr>
        <w:tblPrEx>
          <w:tblCellMar>
            <w:top w:w="0" w:type="dxa"/>
            <w:left w:w="108" w:type="dxa"/>
            <w:bottom w:w="0" w:type="dxa"/>
            <w:right w:w="108" w:type="dxa"/>
          </w:tblCellMar>
        </w:tblPrEx>
        <w:trPr>
          <w:trHeight w:val="260" w:hRule="atLeast"/>
        </w:trPr>
        <w:tc>
          <w:tcPr>
            <w:tcW w:w="770" w:type="dxa"/>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5</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Процедура, в результаті якої Майно отримано в оренду</w:t>
            </w:r>
          </w:p>
        </w:tc>
      </w:tr>
      <w:tr>
        <w:tblPrEx>
          <w:tblCellMar>
            <w:top w:w="0" w:type="dxa"/>
            <w:left w:w="108" w:type="dxa"/>
            <w:bottom w:w="0" w:type="dxa"/>
            <w:right w:w="108" w:type="dxa"/>
          </w:tblCellMar>
        </w:tblPrEx>
        <w:trPr>
          <w:trHeight w:val="505" w:hRule="atLeast"/>
        </w:trPr>
        <w:tc>
          <w:tcPr>
            <w:tcW w:w="770" w:type="dxa"/>
            <w:vMerge w:val="restart"/>
            <w:tcBorders>
              <w:top w:val="single" w:color="000000" w:sz="4" w:space="0"/>
              <w:left w:val="single" w:color="000000" w:sz="4" w:space="0"/>
              <w:bottom w:val="single" w:color="auto"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5.1.</w:t>
            </w:r>
          </w:p>
        </w:tc>
        <w:tc>
          <w:tcPr>
            <w:tcW w:w="9835" w:type="dxa"/>
            <w:gridSpan w:val="13"/>
            <w:tcBorders>
              <w:top w:val="nil"/>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(А) аукціон (Б) без аукціону (В) продовження - за результатами проведення аукціону</w:t>
            </w:r>
            <w:r>
              <w:rPr>
                <w:rFonts w:ascii="Times New Roman" w:hAnsi="Times New Roman" w:eastAsia="Times New Roman" w:cs="Times New Roman"/>
                <w:lang w:val="uk-UA" w:eastAsia="ru-RU"/>
              </w:rPr>
              <w:br w:type="textWrapping"/>
            </w:r>
            <w:r>
              <w:rPr>
                <w:rFonts w:ascii="Times New Roman" w:hAnsi="Times New Roman" w:eastAsia="Times New Roman" w:cs="Times New Roman"/>
                <w:lang w:val="uk-UA" w:eastAsia="ru-RU"/>
              </w:rPr>
              <w:t>(Г) продовження - без проведення аукціону</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Виписати необхідне:</w:t>
            </w:r>
          </w:p>
        </w:tc>
      </w:tr>
      <w:tr>
        <w:tblPrEx>
          <w:tblCellMar>
            <w:top w:w="0" w:type="dxa"/>
            <w:left w:w="108" w:type="dxa"/>
            <w:bottom w:w="0" w:type="dxa"/>
            <w:right w:w="108" w:type="dxa"/>
          </w:tblCellMar>
        </w:tblPrEx>
        <w:trPr>
          <w:trHeight w:val="320"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5.1.1</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Якщо цей договір є договором типу (Г) </w:t>
            </w:r>
            <w:r>
              <w:rPr>
                <w:rFonts w:ascii="Times New Roman" w:hAnsi="Times New Roman" w:eastAsia="Times New Roman" w:cs="Times New Roman"/>
                <w:color w:val="000000"/>
                <w:lang w:eastAsia="ru-RU"/>
              </w:rPr>
              <w:t xml:space="preserve">- </w:t>
            </w:r>
            <w:r>
              <w:rPr>
                <w:rFonts w:ascii="Times New Roman" w:hAnsi="Times New Roman" w:eastAsia="Times New Roman" w:cs="Times New Roman"/>
                <w:color w:val="000000"/>
                <w:lang w:val="uk-UA" w:eastAsia="ru-RU"/>
              </w:rPr>
              <w:t>продовження без проведення аукціону, вписати дату, номер договору, інші реквізити договору, який проводжується________________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Вартість Майна</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з трьох формулювань пункту 6.1)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ind w:right="-76"/>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 157-I</w:t>
            </w:r>
            <w:r>
              <w:rPr>
                <w:rFonts w:ascii="Times New Roman" w:hAnsi="Times New Roman" w:eastAsia="Times New Roman" w:cs="Times New Roman"/>
                <w:color w:val="000000"/>
                <w:lang w:val="en-US" w:eastAsia="ru-RU"/>
              </w:rPr>
              <w:t>X</w:t>
            </w:r>
            <w:r>
              <w:rPr>
                <w:rFonts w:ascii="Times New Roman" w:hAnsi="Times New Roman" w:eastAsia="Times New Roman" w:cs="Times New Roman"/>
                <w:color w:val="000000"/>
                <w:lang w:val="uk-UA" w:eastAsia="ru-RU"/>
              </w:rPr>
              <w:t xml:space="preserve"> </w:t>
            </w:r>
            <w:r>
              <w:rPr>
                <w:rFonts w:ascii="Times New Roman" w:hAnsi="Times New Roman" w:eastAsia="Times New Roman" w:cs="Times New Roman"/>
                <w:color w:val="000000"/>
                <w:lang w:eastAsia="ru-RU"/>
              </w:rPr>
              <w:t>“Про оренду державного і комунального майна” (Відомості Верховної Ради України, 2020 р., № 4,</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eastAsia="ru-RU"/>
              </w:rPr>
              <w:t xml:space="preserve"> ст. 25) </w:t>
            </w:r>
            <w:r>
              <w:rPr>
                <w:rFonts w:ascii="Times New Roman" w:hAnsi="Times New Roman" w:eastAsia="Times New Roman" w:cs="Times New Roman"/>
                <w:color w:val="000000"/>
                <w:lang w:val="uk-UA" w:eastAsia="ru-RU"/>
              </w:rPr>
              <w:t>(далі - Закон)</w:t>
            </w:r>
          </w:p>
          <w:p>
            <w:pPr>
              <w:spacing w:before="120" w:after="0" w:line="240" w:lineRule="auto"/>
              <w:rPr>
                <w:rFonts w:ascii="Times New Roman" w:hAnsi="Times New Roman" w:eastAsia="Times New Roman" w:cs="Times New Roman"/>
                <w:color w:val="000000"/>
                <w:lang w:val="uk-UA" w:eastAsia="ru-RU"/>
              </w:rPr>
            </w:pP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6.1.1</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Оцінювач</w:t>
            </w:r>
          </w:p>
        </w:tc>
        <w:tc>
          <w:tcPr>
            <w:tcW w:w="3618"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2992"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оцінки</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________ 20__р.</w:t>
            </w:r>
          </w:p>
          <w:p>
            <w:pPr>
              <w:spacing w:before="120" w:after="0" w:line="240" w:lineRule="auto"/>
              <w:rPr>
                <w:rFonts w:ascii="Times New Roman" w:hAnsi="Times New Roman" w:eastAsia="Times New Roman" w:cs="Times New Roman"/>
                <w:color w:val="000000"/>
                <w:lang w:val="uk-UA" w:eastAsia="ru-RU"/>
              </w:rPr>
            </w:pP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затвердження висновку про вартість Майна</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 xml:space="preserve"> __________ 20__р.</w:t>
            </w:r>
          </w:p>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6.1.2</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Рецензент</w:t>
            </w:r>
          </w:p>
        </w:tc>
        <w:tc>
          <w:tcPr>
            <w:tcW w:w="3618"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2992"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рецензії</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 xml:space="preserve"> ________ 20__р.</w:t>
            </w:r>
          </w:p>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w:t>
            </w:r>
          </w:p>
        </w:tc>
        <w:tc>
          <w:tcPr>
            <w:tcW w:w="2992" w:type="dxa"/>
            <w:gridSpan w:val="4"/>
            <w:tcBorders>
              <w:top w:val="single" w:color="000000" w:sz="4" w:space="0"/>
              <w:left w:val="nil"/>
              <w:bottom w:val="single" w:color="000000" w:sz="4" w:space="0"/>
              <w:right w:val="single" w:color="000000" w:sz="4" w:space="0"/>
            </w:tcBorders>
          </w:tcPr>
          <w:p>
            <w:pPr>
              <w:spacing w:before="120" w:after="0" w:line="240" w:lineRule="auto"/>
              <w:ind w:right="63"/>
              <w:rPr>
                <w:rFonts w:ascii="Times New Roman" w:hAnsi="Times New Roman" w:eastAsia="Times New Roman" w:cs="Times New Roman"/>
                <w:lang w:val="uk-UA" w:eastAsia="ru-RU"/>
              </w:rPr>
            </w:pPr>
            <w:r>
              <w:rPr>
                <w:rFonts w:ascii="Times New Roman" w:hAnsi="Times New Roman" w:eastAsia="Times New Roman" w:cs="Times New Roman"/>
                <w:color w:val="000000"/>
                <w:lang w:val="uk-UA" w:eastAsia="ru-RU"/>
              </w:rPr>
              <w:t xml:space="preserve">станом на останню дату місяця, що передувала даті оприлюднення </w:t>
            </w:r>
            <w:r>
              <w:rPr>
                <w:rFonts w:ascii="Times New Roman" w:hAnsi="Times New Roman" w:eastAsia="Times New Roman" w:cs="Times New Roman"/>
                <w:lang w:val="uk-UA" w:eastAsia="ru-RU"/>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 xml:space="preserve"> ________ 20__р.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(зазначити</w:t>
            </w:r>
            <w:r>
              <w:rPr>
                <w:rFonts w:ascii="Times New Roman" w:hAnsi="Times New Roman" w:eastAsia="Times New Roman" w:cs="Times New Roman"/>
                <w:color w:val="000000"/>
                <w:lang w:val="uk-UA" w:eastAsia="ru-RU"/>
              </w:rPr>
              <w:t xml:space="preserve"> дату)</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ind w:right="63"/>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34"/>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p>
            <w:pPr>
              <w:spacing w:before="120" w:after="0" w:line="240" w:lineRule="auto"/>
              <w:ind w:right="-34"/>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Балансова вартість, переоцінена в обліку Балансоутримувача (частина друга статті 8 Закону)</w:t>
            </w:r>
          </w:p>
        </w:tc>
        <w:tc>
          <w:tcPr>
            <w:tcW w:w="3618"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________________</w:t>
            </w:r>
          </w:p>
        </w:tc>
        <w:tc>
          <w:tcPr>
            <w:tcW w:w="2992"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станом на останню дату місяця, що передувала даті оприлюднення </w:t>
            </w:r>
            <w:r>
              <w:rPr>
                <w:rFonts w:ascii="Times New Roman" w:hAnsi="Times New Roman" w:eastAsia="Times New Roman" w:cs="Times New Roman"/>
                <w:lang w:val="uk-UA" w:eastAsia="ru-RU"/>
              </w:rPr>
              <w:t>оголошення або включення Майна до Переліку другого типу ______________ (зазначити</w:t>
            </w:r>
            <w:r>
              <w:rPr>
                <w:rFonts w:ascii="Times New Roman" w:hAnsi="Times New Roman" w:eastAsia="Times New Roman" w:cs="Times New Roman"/>
                <w:color w:val="000000"/>
                <w:lang w:val="uk-UA" w:eastAsia="ru-RU"/>
              </w:rPr>
              <w:t xml:space="preserve"> дату)</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34"/>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6.2</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Страхова вартість</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з двох формулювань пункту 6.2.1)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34"/>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ind w:right="-34"/>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яка дорівнює визначеній у пункті 6.1 Умов</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p>
            <w:pPr>
              <w:spacing w:before="120" w:after="0" w:line="240" w:lineRule="auto"/>
              <w:ind w:right="-62"/>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сума (гривень), без податку на додану вартість 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6.3</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Витрати Балансоутримувача, пов’язані із проведенням оцінки Майна</w:t>
            </w:r>
          </w:p>
          <w:p>
            <w:pPr>
              <w:spacing w:before="120" w:after="0" w:line="240" w:lineRule="auto"/>
              <w:rPr>
                <w:rFonts w:ascii="Times New Roman" w:hAnsi="Times New Roman" w:eastAsia="Times New Roman" w:cs="Times New Roman"/>
                <w:color w:val="000000"/>
                <w:lang w:val="uk-UA" w:eastAsia="ru-RU"/>
              </w:rPr>
            </w:pP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Цільове призначення Майна</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із чотирьох формулювань пункту 7.1)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Майно може бути використане Орендарем за будь-яким цільовим призначенням на розсуд Орендаря*</w:t>
            </w:r>
          </w:p>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(*використовується, я</w:t>
            </w:r>
            <w:r>
              <w:rPr>
                <w:rFonts w:ascii="Times New Roman" w:hAnsi="Times New Roman" w:eastAsia="Times New Roman" w:cs="Times New Roman"/>
                <w:color w:val="000000"/>
                <w:lang w:val="uk-UA" w:eastAsia="ru-RU"/>
              </w:rPr>
              <w:t>кщо Майно передано в оренду на аукціоні без додаткових умов)</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 xml:space="preserve">Майно може бути використане за цільовим призначенням на розсуд Орендаря, за винятком таких </w:t>
            </w:r>
            <w:r>
              <w:rPr>
                <w:rFonts w:ascii="Times New Roman" w:hAnsi="Times New Roman" w:eastAsia="Times New Roman" w:cs="Times New Roman"/>
                <w:color w:val="000000"/>
                <w:lang w:val="uk-UA" w:eastAsia="ru-RU"/>
              </w:rPr>
              <w:t>цільових призначень*</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7.1.1 _____________________________________________________________________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7.1.2 _____________________________________________________________________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_____________________________________________________________________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48"/>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r>
              <w:rPr>
                <w:rFonts w:ascii="Times New Roman" w:hAnsi="Times New Roman" w:eastAsia="Times New Roman" w:cs="Times New Roman"/>
                <w:color w:val="000000"/>
                <w:lang w:val="uk-UA" w:eastAsia="ru-RU"/>
              </w:rPr>
              <w:br w:type="textWrapping"/>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48"/>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7.1.2</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r>
              <w:rPr>
                <w:rFonts w:ascii="Times New Roman" w:hAnsi="Times New Roman" w:eastAsia="Times New Roman" w:cs="Times New Roman"/>
                <w:color w:val="000000"/>
                <w:lang w:val="uk-UA" w:eastAsia="ru-RU"/>
              </w:rPr>
              <w:br w:type="textWrapping"/>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 перебуває в аварійному стані або</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 не використовується у діяльності закладу протягом більш як три роки або</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 не використовується у діяльності закладу протягом більш як п’ять років:</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eastAsia="Times New Roman" w:cs="Times New Roman"/>
                <w:lang w:val="uk-UA" w:eastAsia="ru-RU"/>
              </w:rPr>
              <w:t xml:space="preserve"> виняток</w:t>
            </w:r>
            <w:r>
              <w:rPr>
                <w:rFonts w:ascii="Times New Roman" w:hAnsi="Times New Roman" w:eastAsia="Times New Roman" w:cs="Times New Roman"/>
                <w:color w:val="000000"/>
                <w:lang w:val="uk-UA" w:eastAsia="ru-RU"/>
              </w:rPr>
              <w:t>, передбачений абзацом десятим пункту 29 Порядку)</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ind w:right="110"/>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(4)</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ind w:right="110"/>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_________________________________________________________________*</w:t>
            </w:r>
          </w:p>
          <w:p>
            <w:pPr>
              <w:spacing w:before="120" w:after="0" w:line="240" w:lineRule="auto"/>
              <w:ind w:right="110"/>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(*використовується, якщо Майно передано в оренду без проведення аукціону)</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8</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Графік використання (заповнюється, якщо майно передається в погодинну оренду)</w:t>
            </w:r>
          </w:p>
          <w:p>
            <w:pPr>
              <w:spacing w:before="120" w:after="0" w:line="240" w:lineRule="auto"/>
              <w:rPr>
                <w:rFonts w:ascii="Times New Roman" w:hAnsi="Times New Roman" w:eastAsia="Times New Roman" w:cs="Times New Roman"/>
                <w:color w:val="000000"/>
                <w:lang w:val="uk-UA" w:eastAsia="ru-RU"/>
              </w:rPr>
            </w:pP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Орендна плата та інші платежі</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(залежно від типу договору залишити одне із п’яти</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val="uk-UA" w:eastAsia="ru-RU"/>
              </w:rPr>
              <w:t>формулювань пункту 9.1)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Місячна орендна плата, визначена за результатами проведення аукціону</w:t>
            </w:r>
          </w:p>
        </w:tc>
        <w:tc>
          <w:tcPr>
            <w:tcW w:w="3246"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w:t>
            </w:r>
          </w:p>
        </w:tc>
        <w:tc>
          <w:tcPr>
            <w:tcW w:w="3364"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реквізити протоколу електронного аукціону ________________</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w:t>
            </w:r>
          </w:p>
        </w:tc>
        <w:tc>
          <w:tcPr>
            <w:tcW w:w="3364"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визначення ринкової вартості майна</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 20__ р., що є датою визначення орендної плати за базовий місяць оренди</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Місячна орендна плата, визначена на підставі абзацу третього частини сьомої </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статті 18 Закону</w:t>
            </w:r>
          </w:p>
        </w:tc>
        <w:tc>
          <w:tcPr>
            <w:tcW w:w="3246"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w:t>
            </w:r>
          </w:p>
        </w:tc>
        <w:tc>
          <w:tcPr>
            <w:tcW w:w="3364"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останнє число місяця, за який підлягала сплаті остання місячна орендна плата, встановлена договором, що продовжується,</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 20__ р., що є датою визначення орендної плати за базовий місяць оренди</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(4)</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Місячна орендна плата, визначена на підставі абзацу четвертого частини сьомої статті 18 Закону</w:t>
            </w:r>
          </w:p>
        </w:tc>
        <w:tc>
          <w:tcPr>
            <w:tcW w:w="3246" w:type="dxa"/>
            <w:gridSpan w:val="5"/>
            <w:tcBorders>
              <w:top w:val="single" w:color="000000" w:sz="4" w:space="0"/>
              <w:left w:val="nil"/>
              <w:bottom w:val="single" w:color="000000" w:sz="4" w:space="0"/>
              <w:right w:val="single" w:color="auto"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w:t>
            </w:r>
          </w:p>
        </w:tc>
        <w:tc>
          <w:tcPr>
            <w:tcW w:w="3364" w:type="dxa"/>
            <w:gridSpan w:val="5"/>
            <w:tcBorders>
              <w:top w:val="single" w:color="000000" w:sz="4" w:space="0"/>
              <w:left w:val="single" w:color="auto" w:sz="4" w:space="0"/>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оцінки ринкової вартості майна</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 20__ р., що є датою визначення орендної плати за базовий місяць оренди</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w:t>
            </w:r>
            <w:r>
              <w:rPr>
                <w:rFonts w:ascii="Times New Roman" w:hAnsi="Times New Roman" w:eastAsia="Times New Roman" w:cs="Times New Roman"/>
                <w:color w:val="000000"/>
                <w:lang w:eastAsia="ru-RU"/>
              </w:rPr>
              <w:t>5</w:t>
            </w:r>
            <w:r>
              <w:rPr>
                <w:rFonts w:ascii="Times New Roman" w:hAnsi="Times New Roman" w:eastAsia="Times New Roman" w:cs="Times New Roman"/>
                <w:color w:val="000000"/>
                <w:lang w:val="uk-UA" w:eastAsia="ru-RU"/>
              </w:rPr>
              <w:t>)</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auto"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Рі</w:t>
            </w:r>
            <w:r>
              <w:rPr>
                <w:rFonts w:ascii="Times New Roman" w:hAnsi="Times New Roman" w:eastAsia="Times New Roman" w:cs="Times New Roman"/>
                <w:color w:val="000000"/>
                <w:lang w:val="uk-UA" w:eastAsia="ru-RU"/>
              </w:rPr>
              <w:t>чна орендна плата, визначена на підставі Методики розрахунку орендної плати за комунальне мано, затвердженої Кабінетом Міністрів України (далі - Методика)</w:t>
            </w:r>
          </w:p>
        </w:tc>
        <w:tc>
          <w:tcPr>
            <w:tcW w:w="3240" w:type="dxa"/>
            <w:gridSpan w:val="4"/>
            <w:tcBorders>
              <w:top w:val="single" w:color="000000" w:sz="4" w:space="0"/>
              <w:left w:val="nil"/>
              <w:bottom w:val="single" w:color="000000" w:sz="4" w:space="0"/>
              <w:right w:val="single" w:color="auto"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гривня</w:t>
            </w:r>
            <w:bookmarkStart w:id="1" w:name="_GoBack"/>
            <w:bookmarkEnd w:id="1"/>
          </w:p>
        </w:tc>
        <w:tc>
          <w:tcPr>
            <w:tcW w:w="3370" w:type="dxa"/>
            <w:gridSpan w:val="6"/>
            <w:tcBorders>
              <w:top w:val="single" w:color="000000" w:sz="4" w:space="0"/>
              <w:left w:val="single" w:color="auto" w:sz="4" w:space="0"/>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9.2</w:t>
            </w:r>
          </w:p>
        </w:tc>
        <w:tc>
          <w:tcPr>
            <w:tcW w:w="3225" w:type="dxa"/>
            <w:gridSpan w:val="3"/>
            <w:tcBorders>
              <w:top w:val="single" w:color="000000" w:sz="4" w:space="0"/>
              <w:left w:val="nil"/>
              <w:bottom w:val="single" w:color="auto"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Витрати на утримання орендованого Майна та надання комунальних послуг Орендарю</w:t>
            </w:r>
          </w:p>
          <w:p>
            <w:pPr>
              <w:spacing w:before="120" w:after="0" w:line="240" w:lineRule="auto"/>
              <w:rPr>
                <w:rFonts w:ascii="Times New Roman" w:hAnsi="Times New Roman" w:eastAsia="Times New Roman" w:cs="Times New Roman"/>
                <w:color w:val="000000"/>
                <w:lang w:val="uk-UA" w:eastAsia="ru-RU"/>
              </w:rPr>
            </w:pP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компенсуються Орендарем в порядку, передбаченому договором </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nil"/>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10</w:t>
            </w:r>
          </w:p>
        </w:tc>
        <w:tc>
          <w:tcPr>
            <w:tcW w:w="9835" w:type="dxa"/>
            <w:gridSpan w:val="13"/>
            <w:tcBorders>
              <w:top w:val="single" w:color="000000" w:sz="4" w:space="0"/>
              <w:left w:val="nil"/>
              <w:bottom w:val="nil"/>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Розмір авансового внеску орендної плати (крім бюджетних установ)</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10.1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w:t>
            </w:r>
          </w:p>
          <w:p>
            <w:pPr>
              <w:spacing w:before="120" w:after="0" w:line="240" w:lineRule="auto"/>
              <w:rPr>
                <w:rFonts w:ascii="Times New Roman" w:hAnsi="Times New Roman" w:eastAsia="Times New Roman" w:cs="Times New Roman"/>
                <w:color w:val="000000"/>
                <w:lang w:val="uk-UA" w:eastAsia="ru-RU"/>
              </w:rPr>
            </w:pP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10.1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auto"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eastAsia="Times New Roman" w:cs="Times New Roman"/>
                <w:color w:val="000000"/>
                <w:lang w:eastAsia="ru-RU"/>
              </w:rPr>
              <w:t>-</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____________________________________</w:t>
            </w:r>
          </w:p>
        </w:tc>
      </w:tr>
    </w:tbl>
    <w:p>
      <w:pPr>
        <w:spacing w:after="0" w:line="240" w:lineRule="auto"/>
        <w:rPr>
          <w:rFonts w:ascii="Antiqua" w:hAnsi="Antiqua" w:eastAsia="Times New Roman" w:cs="Times New Roman"/>
          <w:sz w:val="26"/>
          <w:szCs w:val="20"/>
          <w:lang w:val="uk-UA" w:eastAsia="ru-RU"/>
        </w:rPr>
      </w:pPr>
    </w:p>
    <w:tbl>
      <w:tblPr>
        <w:tblStyle w:val="3"/>
        <w:tblW w:w="10605" w:type="dxa"/>
        <w:tblInd w:w="-601" w:type="dxa"/>
        <w:tblLayout w:type="fixed"/>
        <w:tblCellMar>
          <w:top w:w="0" w:type="dxa"/>
          <w:left w:w="108" w:type="dxa"/>
          <w:bottom w:w="0" w:type="dxa"/>
          <w:right w:w="108" w:type="dxa"/>
        </w:tblCellMar>
      </w:tblPr>
      <w:tblGrid>
        <w:gridCol w:w="770"/>
        <w:gridCol w:w="3225"/>
        <w:gridCol w:w="2351"/>
        <w:gridCol w:w="1240"/>
        <w:gridCol w:w="1041"/>
        <w:gridCol w:w="1978"/>
      </w:tblGrid>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p>
        </w:tc>
        <w:tc>
          <w:tcPr>
            <w:tcW w:w="3225" w:type="dxa"/>
            <w:tcBorders>
              <w:top w:val="single" w:color="000000" w:sz="4" w:space="0"/>
              <w:left w:val="nil"/>
              <w:bottom w:val="nil"/>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Продовження за результатами проведення аукціону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і при цьому переможцем аукціону є особа інша, ніж орендар Майна станом на дату оголошення аукціону</w:t>
            </w: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vMerge w:val="restart"/>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w:t>
            </w:r>
          </w:p>
        </w:tc>
        <w:tc>
          <w:tcPr>
            <w:tcW w:w="3225" w:type="dxa"/>
            <w:vMerge w:val="restart"/>
            <w:tcBorders>
              <w:top w:val="single" w:color="000000" w:sz="4" w:space="0"/>
              <w:left w:val="nil"/>
              <w:bottom w:val="nil"/>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забезпечувального депозиту</w:t>
            </w:r>
          </w:p>
          <w:p>
            <w:pP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(крім бюджетних установ)</w:t>
            </w: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сума, гривень, без податку на додану вартість _____________ </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3225" w:type="dxa"/>
            <w:vMerge w:val="continue"/>
            <w:tcBorders>
              <w:top w:val="single" w:color="000000" w:sz="4" w:space="0"/>
              <w:left w:val="nil"/>
              <w:bottom w:val="nil"/>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w:t>
            </w:r>
          </w:p>
        </w:tc>
      </w:tr>
      <w:tr>
        <w:tblPrEx>
          <w:tblCellMar>
            <w:top w:w="0" w:type="dxa"/>
            <w:left w:w="108" w:type="dxa"/>
            <w:bottom w:w="0" w:type="dxa"/>
            <w:right w:w="108" w:type="dxa"/>
          </w:tblCellMar>
        </w:tblPrEx>
        <w:trPr>
          <w:trHeight w:val="432"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uk-UA" w:eastAsia="ru-RU"/>
              </w:rPr>
              <w:t>12</w:t>
            </w:r>
          </w:p>
        </w:tc>
        <w:tc>
          <w:tcPr>
            <w:tcW w:w="9835" w:type="dxa"/>
            <w:gridSpan w:val="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Строк договору</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із двох формулювань пункту 12.1)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jc w:val="center"/>
              <w:rPr>
                <w:rFonts w:ascii="Times New Roman" w:hAnsi="Times New Roman" w:eastAsia="Times New Roman" w:cs="Times New Roman"/>
                <w:color w:val="000000"/>
                <w:lang w:val="uk-UA" w:eastAsia="ru-RU"/>
              </w:rPr>
            </w:pPr>
          </w:p>
        </w:tc>
        <w:tc>
          <w:tcPr>
            <w:tcW w:w="9835" w:type="dxa"/>
            <w:gridSpan w:val="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____________ років (місяців, днів) з дати набрання чинності цим договором</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p>
        </w:tc>
        <w:tc>
          <w:tcPr>
            <w:tcW w:w="9835" w:type="dxa"/>
            <w:gridSpan w:val="5"/>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vertAlign w:val="superscript"/>
                <w:lang w:val="uk-UA" w:eastAsia="ru-RU"/>
              </w:rPr>
            </w:pPr>
            <w:r>
              <w:rPr>
                <w:rFonts w:ascii="Times New Roman" w:hAnsi="Times New Roman" w:eastAsia="Times New Roman" w:cs="Times New Roman"/>
                <w:color w:val="000000"/>
                <w:lang w:val="uk-UA" w:eastAsia="ru-RU"/>
              </w:rPr>
              <w:t>або</w:t>
            </w:r>
            <w:r>
              <w:rPr>
                <w:rFonts w:ascii="Times New Roman" w:hAnsi="Times New Roman" w:eastAsia="Times New Roman" w:cs="Times New Roman"/>
                <w:color w:val="000000"/>
                <w:vertAlign w:val="superscript"/>
                <w:lang w:val="uk-UA" w:eastAsia="ru-RU"/>
              </w:rPr>
              <w:t>2</w:t>
            </w:r>
          </w:p>
        </w:tc>
      </w:tr>
      <w:tr>
        <w:tblPrEx>
          <w:tblCellMar>
            <w:top w:w="0" w:type="dxa"/>
            <w:left w:w="108" w:type="dxa"/>
            <w:bottom w:w="0" w:type="dxa"/>
            <w:right w:w="108" w:type="dxa"/>
          </w:tblCellMar>
        </w:tblPrEx>
        <w:trPr>
          <w:trHeight w:val="359" w:hRule="atLeast"/>
        </w:trPr>
        <w:tc>
          <w:tcPr>
            <w:tcW w:w="770" w:type="dxa"/>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tc>
        <w:tc>
          <w:tcPr>
            <w:tcW w:w="9835" w:type="dxa"/>
            <w:gridSpan w:val="5"/>
            <w:tcBorders>
              <w:top w:val="single" w:color="000000" w:sz="4" w:space="0"/>
              <w:left w:val="nil"/>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Цей договір діє до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____________ 20__р. включно</w:t>
            </w:r>
          </w:p>
        </w:tc>
      </w:tr>
      <w:tr>
        <w:tblPrEx>
          <w:tblCellMar>
            <w:top w:w="0" w:type="dxa"/>
            <w:left w:w="108" w:type="dxa"/>
            <w:bottom w:w="0" w:type="dxa"/>
            <w:right w:w="108" w:type="dxa"/>
          </w:tblCellMar>
        </w:tblPrEx>
        <w:trPr>
          <w:trHeight w:val="320"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13</w:t>
            </w:r>
          </w:p>
        </w:tc>
        <w:tc>
          <w:tcPr>
            <w:tcW w:w="3225" w:type="dxa"/>
            <w:tcBorders>
              <w:top w:val="single" w:color="auto"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Згода на суборенду</w:t>
            </w:r>
            <w:r>
              <w:rPr>
                <w:rFonts w:ascii="Times New Roman" w:hAnsi="Times New Roman" w:eastAsia="Times New Roman" w:cs="Times New Roman"/>
                <w:color w:val="000000"/>
                <w:vertAlign w:val="superscript"/>
                <w:lang w:val="uk-UA" w:eastAsia="ru-RU"/>
              </w:rPr>
              <w:t>4</w:t>
            </w:r>
          </w:p>
        </w:tc>
        <w:tc>
          <w:tcPr>
            <w:tcW w:w="6610" w:type="dxa"/>
            <w:gridSpan w:val="4"/>
            <w:tcBorders>
              <w:top w:val="single" w:color="auto"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Орендодавець _____________________ згоду на передачу майна в </w:t>
            </w:r>
          </w:p>
          <w:p>
            <w:pPr>
              <w:spacing w:after="0" w:line="240" w:lineRule="auto"/>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 xml:space="preserve">                                    (</w:t>
            </w:r>
            <w:r>
              <w:rPr>
                <w:rFonts w:ascii="Times New Roman" w:hAnsi="Times New Roman" w:eastAsia="Times New Roman" w:cs="Times New Roman"/>
                <w:color w:val="000000"/>
                <w:sz w:val="20"/>
                <w:szCs w:val="20"/>
                <w:lang w:eastAsia="ru-RU"/>
              </w:rPr>
              <w:t xml:space="preserve"> надав/не надав</w:t>
            </w:r>
            <w:r>
              <w:rPr>
                <w:rFonts w:ascii="Times New Roman" w:hAnsi="Times New Roman" w:eastAsia="Times New Roman" w:cs="Times New Roman"/>
                <w:color w:val="000000"/>
                <w:sz w:val="20"/>
                <w:szCs w:val="20"/>
                <w:lang w:val="uk-UA" w:eastAsia="ru-RU"/>
              </w:rPr>
              <w:t>)</w:t>
            </w:r>
          </w:p>
          <w:p>
            <w:pPr>
              <w:spacing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суборенду згідно з оголошенням про передачу майна в оренду</w:t>
            </w:r>
          </w:p>
        </w:tc>
      </w:tr>
      <w:tr>
        <w:tblPrEx>
          <w:tblCellMar>
            <w:top w:w="0" w:type="dxa"/>
            <w:left w:w="108" w:type="dxa"/>
            <w:bottom w:w="0" w:type="dxa"/>
            <w:right w:w="108" w:type="dxa"/>
          </w:tblCellMar>
        </w:tblPrEx>
        <w:trPr>
          <w:trHeight w:val="320" w:hRule="atLeast"/>
        </w:trPr>
        <w:tc>
          <w:tcPr>
            <w:tcW w:w="770" w:type="dxa"/>
            <w:vMerge w:val="restart"/>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14</w:t>
            </w:r>
          </w:p>
        </w:tc>
        <w:tc>
          <w:tcPr>
            <w:tcW w:w="3225" w:type="dxa"/>
            <w:vMerge w:val="restart"/>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Додаткові умови оренди</w:t>
            </w: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(вказати усі додаткові умови)</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3225" w:type="dxa"/>
            <w:vMerge w:val="continue"/>
            <w:tcBorders>
              <w:top w:val="single" w:color="000000" w:sz="4" w:space="0"/>
              <w:left w:val="nil"/>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встановлені рішенням уповноваженого органу відповідно до рішення такого органу</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уповноважений орган</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номер рішення уповноваженого органу</w:t>
            </w:r>
          </w:p>
        </w:tc>
      </w:tr>
      <w:tr>
        <w:tblPrEx>
          <w:tblCellMar>
            <w:top w:w="0" w:type="dxa"/>
            <w:left w:w="108" w:type="dxa"/>
            <w:bottom w:w="0" w:type="dxa"/>
            <w:right w:w="108" w:type="dxa"/>
          </w:tblCellMar>
        </w:tblPrEx>
        <w:trPr>
          <w:trHeight w:val="320" w:hRule="atLeast"/>
        </w:trPr>
        <w:tc>
          <w:tcPr>
            <w:tcW w:w="770" w:type="dxa"/>
            <w:vMerge w:val="restart"/>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15</w:t>
            </w:r>
          </w:p>
        </w:tc>
        <w:tc>
          <w:tcPr>
            <w:tcW w:w="3225" w:type="dxa"/>
            <w:vMerge w:val="restart"/>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Банківські реквізити для сплати орендної плати та інших платежів відповідно до цього договору</w:t>
            </w:r>
          </w:p>
        </w:tc>
        <w:tc>
          <w:tcPr>
            <w:tcW w:w="23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Балансоутримувача</w:t>
            </w:r>
          </w:p>
        </w:tc>
        <w:tc>
          <w:tcPr>
            <w:tcW w:w="2281"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місцевого бюджету </w:t>
            </w:r>
          </w:p>
        </w:tc>
        <w:tc>
          <w:tcPr>
            <w:tcW w:w="1978"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Орендодавця</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3225" w:type="dxa"/>
            <w:vMerge w:val="continue"/>
            <w:tcBorders>
              <w:top w:val="single" w:color="000000" w:sz="4" w:space="0"/>
              <w:left w:val="nil"/>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23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2281"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978"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16</w:t>
            </w:r>
          </w:p>
        </w:tc>
        <w:tc>
          <w:tcPr>
            <w:tcW w:w="3225"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Співвідношення розподілу орендної плати станом на дату укладення договору</w:t>
            </w:r>
          </w:p>
        </w:tc>
        <w:tc>
          <w:tcPr>
            <w:tcW w:w="3591"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Балансоутримувачу ___ відсотків  суми орендної плати</w:t>
            </w:r>
          </w:p>
        </w:tc>
        <w:tc>
          <w:tcPr>
            <w:tcW w:w="3019"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місцевому бюджету ___ відсотків суми орендної плати</w:t>
            </w:r>
          </w:p>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1892"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17</w:t>
            </w:r>
            <w:r>
              <w:rPr>
                <w:rFonts w:ascii="Times New Roman" w:hAnsi="Times New Roman" w:eastAsia="Times New Roman" w:cs="Times New Roman"/>
                <w:color w:val="000000"/>
                <w:vertAlign w:val="superscript"/>
                <w:lang w:val="uk-UA" w:eastAsia="ru-RU"/>
              </w:rPr>
              <w:t>5</w:t>
            </w:r>
          </w:p>
        </w:tc>
        <w:tc>
          <w:tcPr>
            <w:tcW w:w="3225"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заяви Орендаря про продовження договору оренди, поданої Орендодавцю:</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___________20__р.</w:t>
            </w:r>
          </w:p>
          <w:p>
            <w:pPr>
              <w:spacing w:before="120" w:after="0" w:line="240" w:lineRule="auto"/>
              <w:rPr>
                <w:rFonts w:ascii="Times New Roman" w:hAnsi="Times New Roman" w:eastAsia="Times New Roman" w:cs="Times New Roman"/>
                <w:color w:val="000000"/>
                <w:lang w:val="uk-UA" w:eastAsia="ru-RU"/>
              </w:rPr>
            </w:pPr>
          </w:p>
        </w:tc>
        <w:tc>
          <w:tcPr>
            <w:tcW w:w="3591" w:type="dxa"/>
            <w:gridSpan w:val="2"/>
            <w:tcBorders>
              <w:top w:val="single" w:color="000000" w:sz="4" w:space="0"/>
              <w:left w:val="nil"/>
              <w:bottom w:val="single" w:color="000000" w:sz="4" w:space="0"/>
              <w:right w:val="single" w:color="000000" w:sz="4" w:space="0"/>
            </w:tcBorders>
          </w:tcPr>
          <w:p>
            <w:pPr>
              <w:spacing w:before="120" w:after="0" w:line="240" w:lineRule="auto"/>
              <w:ind w:right="-118"/>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вихідний номер довідки Балансоутримувача, передбаченої частиною шостою статті 18 Закону</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___________20__р.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__________________________</w:t>
            </w:r>
          </w:p>
        </w:tc>
        <w:tc>
          <w:tcPr>
            <w:tcW w:w="3019"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номер рішення (наказу) Орендодавця про продовження договору оренди</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___________20__р.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__________________</w:t>
            </w:r>
          </w:p>
        </w:tc>
      </w:tr>
    </w:tbl>
    <w:p>
      <w:pPr>
        <w:spacing w:after="0" w:line="240" w:lineRule="auto"/>
        <w:jc w:val="center"/>
        <w:rPr>
          <w:rFonts w:ascii="Times New Roman" w:hAnsi="Times New Roman" w:eastAsia="Times New Roman" w:cs="Times New Roman"/>
          <w:b/>
          <w:color w:val="000000"/>
          <w:sz w:val="28"/>
          <w:szCs w:val="28"/>
          <w:lang w:val="uk-UA" w:eastAsia="ru-RU"/>
        </w:rPr>
      </w:pPr>
    </w:p>
    <w:p>
      <w:pPr>
        <w:spacing w:after="0" w:line="240" w:lineRule="auto"/>
        <w:jc w:val="both"/>
        <w:rPr>
          <w:rFonts w:ascii="Times New Roman" w:hAnsi="Times New Roman" w:eastAsia="Times New Roman" w:cs="Times New Roman"/>
          <w:color w:val="000000"/>
          <w:lang w:val="uk-UA" w:eastAsia="ru-RU"/>
        </w:rPr>
      </w:pPr>
    </w:p>
    <w:p>
      <w:pPr>
        <w:spacing w:before="120"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vertAlign w:val="superscript"/>
          <w:lang w:val="uk-UA" w:eastAsia="ru-RU"/>
        </w:rPr>
        <w:t xml:space="preserve">3 </w:t>
      </w:r>
      <w:r>
        <w:rPr>
          <w:rFonts w:ascii="Times New Roman" w:hAnsi="Times New Roman" w:eastAsia="Times New Roman" w:cs="Times New Roman"/>
          <w:color w:val="000000"/>
          <w:sz w:val="20"/>
          <w:szCs w:val="20"/>
          <w:lang w:val="uk-UA" w:eastAsia="ru-RU"/>
        </w:rPr>
        <w:t xml:space="preserve">Формулювання пункту 12.1(3) застосовується до договорів при продовженні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pPr>
        <w:spacing w:before="120"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vertAlign w:val="superscript"/>
          <w:lang w:val="uk-UA" w:eastAsia="ru-RU"/>
        </w:rPr>
        <w:t xml:space="preserve">4 </w:t>
      </w:r>
      <w:r>
        <w:rPr>
          <w:rFonts w:ascii="Times New Roman" w:hAnsi="Times New Roman" w:eastAsia="Times New Roman" w:cs="Times New Roman"/>
          <w:color w:val="000000"/>
          <w:sz w:val="20"/>
          <w:szCs w:val="20"/>
          <w:lang w:val="uk-UA" w:eastAsia="ru-RU"/>
        </w:rPr>
        <w:t>Пункт заповнюється, якщо цей договір є договором типу 5(А) або 5(В) і майно за цим договором передається за результатами проведення аукціону.</w:t>
      </w:r>
    </w:p>
    <w:p>
      <w:pPr>
        <w:spacing w:before="120"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vertAlign w:val="superscript"/>
          <w:lang w:val="uk-UA" w:eastAsia="ru-RU"/>
        </w:rPr>
        <w:t xml:space="preserve">5 </w:t>
      </w:r>
      <w:r>
        <w:rPr>
          <w:rFonts w:ascii="Times New Roman" w:hAnsi="Times New Roman" w:eastAsia="Times New Roman" w:cs="Times New Roman"/>
          <w:color w:val="000000"/>
          <w:sz w:val="20"/>
          <w:szCs w:val="20"/>
          <w:lang w:val="uk-UA" w:eastAsia="ru-RU"/>
        </w:rPr>
        <w:t xml:space="preserve">Пункт 17 Умов заповнюється лише для договорів типу </w:t>
      </w:r>
      <w:r>
        <w:rPr>
          <w:rFonts w:ascii="Times New Roman" w:hAnsi="Times New Roman" w:eastAsia="Times New Roman" w:cs="Times New Roman"/>
          <w:color w:val="000000"/>
          <w:sz w:val="20"/>
          <w:szCs w:val="20"/>
          <w:lang w:eastAsia="ru-RU"/>
        </w:rPr>
        <w:t xml:space="preserve">при </w:t>
      </w:r>
      <w:r>
        <w:rPr>
          <w:rFonts w:ascii="Times New Roman" w:hAnsi="Times New Roman" w:eastAsia="Times New Roman" w:cs="Times New Roman"/>
          <w:color w:val="000000"/>
          <w:sz w:val="20"/>
          <w:szCs w:val="20"/>
          <w:lang w:val="uk-UA" w:eastAsia="ru-RU"/>
        </w:rPr>
        <w:t>продовженні договору без проведення аукціону.</w:t>
      </w:r>
    </w:p>
    <w:p>
      <w:pPr>
        <w:spacing w:after="0" w:line="240" w:lineRule="auto"/>
        <w:jc w:val="center"/>
        <w:rPr>
          <w:rFonts w:ascii="Times New Roman" w:hAnsi="Times New Roman" w:eastAsia="Times New Roman" w:cs="Times New Roman"/>
          <w:b/>
          <w:sz w:val="28"/>
          <w:szCs w:val="28"/>
          <w:lang w:val="uk-UA" w:eastAsia="ru-RU"/>
        </w:rPr>
      </w:pPr>
      <w:r>
        <w:rPr>
          <w:rFonts w:ascii="Antiqua" w:hAnsi="Antiqua" w:eastAsia="Times New Roman" w:cs="Times New Roman"/>
          <w:sz w:val="26"/>
          <w:szCs w:val="20"/>
          <w:lang w:val="uk-UA" w:eastAsia="ru-RU"/>
        </w:rPr>
        <w:br w:type="page"/>
      </w:r>
      <w:r>
        <w:rPr>
          <w:rFonts w:ascii="Times New Roman" w:hAnsi="Times New Roman" w:eastAsia="Times New Roman" w:cs="Times New Roman"/>
          <w:b/>
          <w:sz w:val="28"/>
          <w:szCs w:val="28"/>
          <w:lang w:val="uk-UA" w:eastAsia="ru-RU"/>
        </w:rPr>
        <w:t>II. Незмінювані умови договору</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Предмет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 Майно передається в оренду для використання згідно з пунктом 7 Умов.</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Умови передачі орендованого Майна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2.1. Орендар вступає у строкове платне користування Майном у день підписання акта приймання-передачі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Акт приймання-передачі підписується між Орендарем і Балансоутримувачем (орендодавцем) одночасно з підписанням цього договору. </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Або*: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Акт приймання-передачі підписується протягом 10 робочих днів з дати припинення договору з попереднім орендарем.</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eastAsia="Times New Roman" w:cs="Times New Roman"/>
          <w:b/>
          <w:sz w:val="24"/>
          <w:szCs w:val="24"/>
          <w:lang w:val="uk-UA" w:eastAsia="ru-RU"/>
        </w:rPr>
        <w:br w:type="textWrapping"/>
      </w:r>
      <w:r>
        <w:rPr>
          <w:rFonts w:ascii="Times New Roman" w:hAnsi="Times New Roman" w:eastAsia="Times New Roman" w:cs="Times New Roman"/>
          <w:b/>
          <w:sz w:val="24"/>
          <w:szCs w:val="24"/>
          <w:lang w:val="uk-UA" w:eastAsia="ru-RU"/>
        </w:rPr>
        <w:t>типу 5.1(В) і такий переможець аукціону є особою іншою, ніж орендар майна станом на дату оголошення аукціону.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2.2. Передача Майна в оренду здійснюється за його страховою вартістю, визначеною у пункті 6.2 Умов.</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Орендна плата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(орендодавця) за користування земельною ділянкою. Орендар несе ці витрати на основі окремих договорів, укладених із Балансоутримувачем (орендодавцем) та/або безпосередньо з постачальниками комунальних послуг в порядку, визначеному пунктом 6.5 цього договору.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Або: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3.2. (2) Якщо орендна плата визначена на підставі абзацу третього або четвертого частини сьомої статті 18 Закону, то: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3.2. (3) Якщо орендна плата визначена на підставі пункту 10 методики</w:t>
      </w:r>
      <w:r>
        <w:rPr>
          <w:rFonts w:ascii="Times New Roman" w:hAnsi="Times New Roman" w:eastAsia="Times New Roman" w:cs="Times New Roman"/>
          <w:b/>
          <w:bCs/>
          <w:sz w:val="24"/>
          <w:szCs w:val="24"/>
          <w:shd w:val="clear" w:color="auto" w:fill="FFFFFF"/>
          <w:lang w:val="uk-UA" w:eastAsia="ru-RU"/>
        </w:rPr>
        <w:t>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b/>
          <w:bCs/>
          <w:sz w:val="24"/>
          <w:szCs w:val="24"/>
          <w:shd w:val="clear" w:color="auto" w:fill="FFFFFF"/>
          <w:lang w:val="uk-UA" w:eastAsia="ru-RU"/>
        </w:rPr>
        <w:t>розрахунку орендної плати за державне майно та пропорції її розподілу</w:t>
      </w:r>
      <w:r>
        <w:rPr>
          <w:rFonts w:ascii="Times New Roman" w:hAnsi="Times New Roman" w:eastAsia="Times New Roman" w:cs="Times New Roman"/>
          <w:b/>
          <w:sz w:val="24"/>
          <w:szCs w:val="24"/>
          <w:lang w:val="uk-UA" w:eastAsia="ru-RU"/>
        </w:rPr>
        <w:t xml:space="preserve"> затвердженої Постановою Кабінету Міністрів України від 4 жовтня 1995 року № 786, то: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shd w:val="clear" w:color="auto" w:fill="FFFFFF"/>
          <w:lang w:val="uk-UA" w:eastAsia="ru-RU"/>
        </w:rPr>
        <w:t>розмір річної орендної плати за оренду нерухомого майна встановлюється 1 гривня;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3.3. Орендар сплачує орендну плату до місцевого бюджету та Балансоутримувачу ( орендодавцю ) у співвідношенні, визначеному у пункті 16 Умов:</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15 числа поточного місяця оренди - для орендарів, які отримали майно в оренду за результатами аукціону (договори типу 5(А) і 5(В);</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15 числа, що настає за поточним місяцем оренди, - для орендарів, які отримали майно в оренду без аукціону (договори типу 5(Б) і 5(Г); і</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до 5 числа, що настає за поточним місяцем оренди, </w:t>
      </w:r>
      <w:r>
        <w:rPr>
          <w:rFonts w:ascii="Times New Roman" w:hAnsi="Times New Roman" w:eastAsia="Times New Roman" w:cs="Times New Roman"/>
          <w:b/>
          <w:sz w:val="24"/>
          <w:szCs w:val="24"/>
          <w:lang w:eastAsia="ru-RU"/>
        </w:rPr>
        <w:t>-</w:t>
      </w:r>
      <w:r>
        <w:rPr>
          <w:rFonts w:ascii="Times New Roman" w:hAnsi="Times New Roman" w:eastAsia="Times New Roman" w:cs="Times New Roman"/>
          <w:b/>
          <w:sz w:val="24"/>
          <w:szCs w:val="24"/>
          <w:lang w:val="uk-UA" w:eastAsia="ru-RU"/>
        </w:rPr>
        <w:t xml:space="preserve"> у випадку, передбаченому пунктом 182 Порядку;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15 грудня, що настає за поточним роком оренди, - у випадках коли орендна плата визначена на підставі пункту 10 методики</w:t>
      </w:r>
      <w:r>
        <w:rPr>
          <w:rFonts w:ascii="Times New Roman" w:hAnsi="Times New Roman" w:eastAsia="Times New Roman" w:cs="Times New Roman"/>
          <w:b/>
          <w:bCs/>
          <w:sz w:val="24"/>
          <w:szCs w:val="24"/>
          <w:shd w:val="clear" w:color="auto" w:fill="FFFFFF"/>
          <w:lang w:val="uk-UA" w:eastAsia="ru-RU"/>
        </w:rPr>
        <w:t>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b/>
          <w:bCs/>
          <w:sz w:val="24"/>
          <w:szCs w:val="24"/>
          <w:shd w:val="clear" w:color="auto" w:fill="FFFFFF"/>
          <w:lang w:val="uk-UA" w:eastAsia="ru-RU"/>
        </w:rPr>
        <w:t>розрахунку орендної плати за державне майно та пропорції її розподілу</w:t>
      </w:r>
      <w:r>
        <w:rPr>
          <w:rFonts w:ascii="Times New Roman" w:hAnsi="Times New Roman" w:eastAsia="Times New Roman" w:cs="Times New Roman"/>
          <w:b/>
          <w:sz w:val="24"/>
          <w:szCs w:val="24"/>
          <w:lang w:val="uk-UA" w:eastAsia="ru-RU"/>
        </w:rPr>
        <w:t xml:space="preserve"> затвердженої Постановою Кабінету Міністрів України від 4 жовтня 1995 року № 786.</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3.4. Орендар сплачує орендну плату на підставі рахунків Балансоутримувача  ( орендодавця). Балансоутримувач (орендодавець) виставляє рахунок на загальну суму орендної плати із зазначенням частини орендної плати, яка сплачується на рахунок Балансоутримувача (орендодавця),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(орендодавцю) належну йому частину орендної плати разом із податком на додану вартість, нарахованим на загальну суму орендної плати. Балансоутримувач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Якщо цей договір укладено без проведення аукціону з бюджетними установами авансовий внесок не сплачується.</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Порядку.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Орендодавець  (балансоутримувач)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val="uk-UA" w:eastAsia="ru-RU"/>
        </w:rPr>
        <w:t>календарних днів з моменту набрання чинності відповідними змінами.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може звернутися до Орендодавця (балансоутримувача)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3.8. Орендна плата, перерахована несвоєчасно або не в повному обсязі, стягується Орендодавцем та/або Балансоутримувачем.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3.10. Надміру сплачена сума орендної плати, що надійшла до бюджету або Балансоутримувачу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3.12. Орендар зобов’язаний на вимогу Орендодавця проводити звіряння взаєморозрахунків за орендними платежами і оформляти акти звіряння.</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Повернення Майна з оренди і забезпечувальний депозит</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4.1. У разі припинення договору Орендар зобов’язаний:</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uk-UA" w:eastAsia="ru-RU"/>
        </w:rPr>
        <w:t xml:space="preserve"> то разом із такими поліпшеннями/капітальним ремонтом;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сплатити орендну плату, нараховану до дати, що передує даті повернення Майна з оренди, пеню (за наявності), сплатити Балансоутримувачу (орендодавцю) платежі за договором про відшкодування витрат Балансоутримувача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відшкодувати Балансоутримувачу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4.2. Протягом трьох робочих днів з моменту припинення цього договору Балансоутримувач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(орендодавця) на утримання орендованого Майна та надання комунальних послуг Орендарю в акті повернення з оренди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Балансоутримувач (орендодавець) складає акт повернення з оренди орендованого Майна у трьох оригінальних примірниках і надає підписані Балансоутримувачем (орендодавцем) примірники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Орендар зобов’язаний: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(орендодавця) і одночасно повернути Балансоутримувачу (орендодавцю) підписані примірники Орендарем актів разом із ключами від об’єкта оренди (у разі, коли доступ до об’єкта оренди забезпечується ключами);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звільнити Майно одночасно із поверненням підписаних Орендарем актів.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Не пізніше ніж на четвертий робочий день після припинення договору Балансоутримувач (орендодавець) зобов’язаний надати Орендодавцю примірник підписаного акта повернення з оренди орендованого Майна або письмово повідомити виконавчий комітет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4.3. Майно вважається повернутим з оренди з моменту підписання Балансоутримувачем ( орендодавцем) акта повернення з оренди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4.4. Якщо Орендар не повертає Майно після отримання від Балансоутримувача (орендодавця)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4.5. З метою виконання зобов’язань Орендаря за цим договором, а також за договором про відшкодування витрат Балансоутримувача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(балансоутримувача) забезпечувальний депозит в розмірі, визначеному у пункті 11 Умов.</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Крім бюджетних установ. Орендар сплачує повну суму забезпечувального депозиту, якщо: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договір, що продовжується, не передбачав обов’язку Орендаря сплатити забезпечувальний депозит, або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4.6. Орендодавець (балансоутримувач)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4.7. Орендодавець (балансоутримувач) перераховує забезпечувальний депозит у повному обсязі до місцевого бюджету, якщо: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 орендодавця) з метою складення такого акта;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4.8. Орендодавець (балансоутримувач) не пізніше ніж протягом п’ятого робочого дня з моменту отримання примірника акта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 (орендодавцем));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другу чергу погашаються зобов’язання Орендаря із сплати неустойки (пункт 4.4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 (орендодавцю);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п’яту чергу погашаються зобов’язання Орендаря із сплати Балансоутримувачу (орендодавцю) платежів за договором про відшкодування витрат Балансоутримувача (орендодавця) на утримання орендованого Майна та надання комунальних послуг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шосту чергу погашаються зобов’язання Орендаря з компенсації суми збитків, завданих орендованому Майну;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Поліпшення і ремонт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5.1. Орендар має право: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 згодою наданою відповідно до Закону та Порядку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здійснювати невід’ємні поліпшення Майна за наявності згоди наданої відповідно до Закону та Порядку;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 згодою наданою відповідно до Закону та Порядку один раз протягом строку оренди зарахувати частину витрат на проведення капітального ремонту в рахунок зменшення орендної плати.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5.2. Порядок отримання Орендарем згоди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5.3. Орендар має право на компенсацію вартості здійснених ним невід’ємних поліпшень Майна у порядку та на умовах, встановлених Порядком.</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Режим використання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6.1. Орендар зобов’язаний використовувати орендоване Майно відповідно до призначення, визначеного у пункті 7 Умов.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6.3. Орендар зобов’язаний:</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(орендодавця);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проводити внутрішні розслідування випадків пожеж та подавати Балансоутримувачу (орендодавцю) відповідні документи розслідування.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6.4. Орендар зобов’язаний забезпечити представникам Орендодавця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uk-UA"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6.5. Протягом п’яти робочих днів з дати укладення цього договору Балансоутримувач (орендодавець) зобов’язаний надати Орендарю для підписання: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два примірники договору про відшкодування витрат Балансоутримувача (орендодавця) на утримання орендованого Майна та надання комунальних послуг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зобов’язаний протягом десяти робочих днів з моменту отримання примірників договору про відшкодування витрат Балансоутримувача (орендодавця) на утримання орендованого Майна та надання комунальних послуг Орендарю підписати і повернути Балансоутримувачу (орендодавцю) примірник договору.</w:t>
      </w:r>
    </w:p>
    <w:p>
      <w:pPr>
        <w:spacing w:before="120" w:after="0" w:line="240" w:lineRule="auto"/>
        <w:jc w:val="both"/>
        <w:rPr>
          <w:rFonts w:ascii="Times New Roman" w:hAnsi="Times New Roman" w:eastAsia="Times New Roman" w:cs="Times New Roman"/>
          <w:sz w:val="28"/>
          <w:szCs w:val="28"/>
          <w:lang w:val="uk-UA" w:eastAsia="ru-RU"/>
        </w:rPr>
      </w:pPr>
      <w:bookmarkStart w:id="0" w:name="_heading=h.1fob9te"/>
      <w:bookmarkEnd w:id="0"/>
      <w:r>
        <w:rPr>
          <w:rFonts w:ascii="Times New Roman" w:hAnsi="Times New Roman" w:eastAsia="Times New Roman" w:cs="Times New Roman"/>
          <w:sz w:val="28"/>
          <w:szCs w:val="28"/>
          <w:lang w:val="uk-UA"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(орендодавця). Орендар зобов’язаний надати Балансоутримувачу (орендодавцю) копії договорів, укладених із постачальниками комунальних послуг.</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 xml:space="preserve">Страхування об’єкта оренди, відшкодування витрат на оцінку Майна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7.1. Орендар зобов’язаний:</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eastAsia="Times New Roman" w:cs="Times New Roman"/>
          <w:sz w:val="28"/>
          <w:szCs w:val="28"/>
          <w:lang w:val="uk-UA" w:eastAsia="ru-RU"/>
        </w:rPr>
        <w:br w:type="textWrapping"/>
      </w:r>
      <w:r>
        <w:rPr>
          <w:rFonts w:ascii="Times New Roman" w:hAnsi="Times New Roman" w:eastAsia="Times New Roman" w:cs="Times New Roman"/>
          <w:sz w:val="28"/>
          <w:szCs w:val="28"/>
          <w:lang w:val="uk-UA" w:eastAsia="ru-RU"/>
        </w:rPr>
        <w:t>пункті 6.2 Умов, на користь Балансоутримувача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(орендодавцю) завірені належним чином копії договору страхування і документів, які підтверджують сплату страхового платежу (страхових платежів);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поновлювати щороку договір страхування так, щоб протягом строку дії цього договору Майно було застрахованим, і надавати Балансоутримувачу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Якщо строк дії договору оренди менший, ніж один рік, то договір страхування укладається на строк дії договору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Оплата послуг страховика здійснюється за рахунок Орендаря (страхувальника).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7.2. Протягом 10 робочих днів з дня укладення цього договору Орендар зобов’язаний компенсувати Балансоутримувачу (орендодавцю) витрати, пов’язані з проведенням незалежної оцінки Майна, в сумі, зазначеній у пункті 6.3 Умов (у разі понесення Балансоутримувачем (орендодавцем) таких витрат). Балансоутримувач (орендодавець) має право зарахувати частину орендної плати, що підлягає сплаті на свою користь, в рахунок його витрат, пов’язаних із проведенням незалежної оцінки Майна.</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Суборенда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Або*: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 (2) Орендар не має права передавати Майно в суборенду.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8.2. Орендар протягом трьох робочих днів з дня укладення договору суборенди зобов’язаний надати Орендодавцю (балансоутримувачу) інформацію про суборендаря та один примірник договору суборенди для його оприлюднення в електронній торговій системі.</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Запевнення сторін</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 Балансоутримувач (орендодавець) запевняють Орендаря, що: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9.3. Одночасно або до дати укладення цього договору Орендар повністю сплатив авансовий внесок з орендної плати в розмірі у разі необхідності.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9.5. Одночасно або до укладення цього договору Орендар повністю сплатив забезпечувальний депозит в розмірі, у разі необхідності.</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Додаткові умови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Відповідальність і вирішення спорів за договором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11.2. Орендодавець (балансоутримувач) не відповідає за зобов’язаннями Орендаря. Орендар не відповідає за зобов’язаннями Орендодавця (балансоутримувача),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11.3. Спори, які виникають за цим договором або в зв’язку з ним, не вирішені шляхом переговорів, вирішуються в судовому порядку.</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Строк чинності, умови зміни та припинення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12.1.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12.2.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має переважне право на продовження цього договору, яке може бути реалізовано ним у визначений в Порядку спосіб.</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12.3.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12.4. Договір припиняється: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12.4.1. якщо підставою припинення договору є закінчення строку, на який його укладено.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 Договір може бути достроково припинений на вимогу Орендодавця (балансоутримувача), якщо Орендар:</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12.5.2. використовує Майно не за цільовим призначенням;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12.5.3. без письмового дозволу Орендодавця (балансоутримувача) передав Майно, його частину у користування іншій особі, крім випадків, коли Орендар передав Майно в суборенду і надав копію договору суборенди для його оприлюднення в електронній торговій системі;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12.5.5. перешкоджає співробітникам Орендодавця  (балансоутримувача) здійснювати контроль за використанням Майна, виконанням умов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12.5.6. порушує додаткові умови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12.5.7. відмовився внести зміни до цього договору у разі виникнення підстав, передбачених Порядком.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Договір вважається припиненим на п’ятий робочий день після надіслання Орендодавцем (балансоутримувачем) Орендарю листа про дострокове припинення цього договору. Орендодавець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(балансоутримувача) встановлюється на підставі штемпеля поштового відділення на поштовому відправленні Орендодавця (балансоутримувача).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12.6. Цей договір може бути достроково припинений на вимогу Орендаря, якщо: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12.6.1.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Договір вважається припиненим на десятий робочий день після надіслання Орендарем Орендодавцю (балансоутримувачу) вимоги про дострокове припинення цього договору, крім випадків, коли Орендодавець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12.7. У разі припинення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uk-UA" w:eastAsia="ru-RU"/>
        </w:rPr>
        <w:t xml:space="preserve"> комунальною власністю.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pacing w:val="-4"/>
          <w:sz w:val="28"/>
          <w:szCs w:val="28"/>
          <w:lang w:val="uk-UA" w:eastAsia="ru-RU"/>
        </w:rPr>
        <w:t xml:space="preserve">12.8. Майно вважається поверненим Орендодавцю (балансоутримувачу) </w:t>
      </w:r>
      <w:r>
        <w:rPr>
          <w:rFonts w:ascii="Times New Roman" w:hAnsi="Times New Roman" w:eastAsia="Times New Roman" w:cs="Times New Roman"/>
          <w:sz w:val="28"/>
          <w:szCs w:val="28"/>
          <w:lang w:val="uk-UA" w:eastAsia="ru-RU"/>
        </w:rPr>
        <w:t>з моменту підписання акта повернення з оренди орендованого Майна.</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Інше</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(балансоутримувач) повідомляє Орендареві про відповідні зміни письмово або на адресу електронної пошти.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13.2. Якщо цей договір підлягає нотаріальному посвідченню, витрати на таке посвідчення несе Орендар.</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13.3. Цей Договір укладено у трьох примірниках, кожен з яких має однакову юридичну силу, по одному для Орендаря, Орендодавця (балансоутримувача).</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Підписи сторін</w:t>
      </w:r>
    </w:p>
    <w:tbl>
      <w:tblPr>
        <w:tblStyle w:val="3"/>
        <w:tblW w:w="9435" w:type="dxa"/>
        <w:jc w:val="center"/>
        <w:tblLayout w:type="fixed"/>
        <w:tblCellMar>
          <w:top w:w="0" w:type="dxa"/>
          <w:left w:w="108" w:type="dxa"/>
          <w:bottom w:w="0" w:type="dxa"/>
          <w:right w:w="108" w:type="dxa"/>
        </w:tblCellMar>
      </w:tblPr>
      <w:tblGrid>
        <w:gridCol w:w="4152"/>
        <w:gridCol w:w="5283"/>
      </w:tblGrid>
      <w:tr>
        <w:trPr>
          <w:trHeight w:val="333" w:hRule="atLeast"/>
          <w:jc w:val="center"/>
        </w:trPr>
        <w:tc>
          <w:tcPr>
            <w:tcW w:w="4154"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Орендаря:</w:t>
            </w:r>
          </w:p>
        </w:tc>
        <w:tc>
          <w:tcPr>
            <w:tcW w:w="5286"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___________________</w:t>
            </w:r>
          </w:p>
        </w:tc>
      </w:tr>
      <w:tr>
        <w:tblPrEx>
          <w:tblCellMar>
            <w:top w:w="0" w:type="dxa"/>
            <w:left w:w="108" w:type="dxa"/>
            <w:bottom w:w="0" w:type="dxa"/>
            <w:right w:w="108" w:type="dxa"/>
          </w:tblCellMar>
        </w:tblPrEx>
        <w:trPr>
          <w:trHeight w:val="315" w:hRule="atLeast"/>
          <w:jc w:val="center"/>
        </w:trPr>
        <w:tc>
          <w:tcPr>
            <w:tcW w:w="4154"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Орендодавця:</w:t>
            </w:r>
          </w:p>
        </w:tc>
        <w:tc>
          <w:tcPr>
            <w:tcW w:w="5286"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___________________</w:t>
            </w:r>
          </w:p>
        </w:tc>
      </w:tr>
      <w:tr>
        <w:tblPrEx>
          <w:tblCellMar>
            <w:top w:w="0" w:type="dxa"/>
            <w:left w:w="108" w:type="dxa"/>
            <w:bottom w:w="0" w:type="dxa"/>
            <w:right w:w="108" w:type="dxa"/>
          </w:tblCellMar>
        </w:tblPrEx>
        <w:trPr>
          <w:trHeight w:val="420" w:hRule="atLeast"/>
          <w:jc w:val="center"/>
        </w:trPr>
        <w:tc>
          <w:tcPr>
            <w:tcW w:w="4154"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(Від Балансоутримувача: </w:t>
            </w:r>
          </w:p>
        </w:tc>
        <w:tc>
          <w:tcPr>
            <w:tcW w:w="5286"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___________________)</w:t>
            </w:r>
          </w:p>
        </w:tc>
      </w:tr>
    </w:tbl>
    <w:p>
      <w:pPr>
        <w:widowControl w:val="0"/>
        <w:spacing w:before="120" w:after="0" w:line="240" w:lineRule="auto"/>
        <w:outlineLvl w:val="2"/>
        <w:rPr>
          <w:rFonts w:ascii="Times New Roman" w:hAnsi="Times New Roman" w:eastAsia="Times New Roman" w:cs="Times New Roman"/>
          <w:sz w:val="28"/>
          <w:szCs w:val="28"/>
          <w:lang w:val="uk-UA" w:eastAsia="ru-RU"/>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sectPr>
      <w:footerReference r:id="rId5" w:type="default"/>
      <w:pgSz w:w="11906" w:h="16838"/>
      <w:pgMar w:top="426" w:right="566" w:bottom="709"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ntiqua">
    <w:altName w:val="Segoe UI"/>
    <w:panose1 w:val="00000000000000000000"/>
    <w:charset w:val="00"/>
    <w:family w:val="swiss"/>
    <w:pitch w:val="default"/>
    <w:sig w:usb0="00000000" w:usb1="00000000" w:usb2="00000000" w:usb3="00000000" w:csb0="00000005"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7875484"/>
      <w:docPartObj>
        <w:docPartGallery w:val="autotext"/>
      </w:docPartObj>
    </w:sdtPr>
    <w:sdtContent>
      <w:p>
        <w:pPr>
          <w:pStyle w:val="4"/>
          <w:jc w:val="right"/>
        </w:pPr>
        <w:r>
          <w:fldChar w:fldCharType="begin"/>
        </w:r>
        <w:r>
          <w:instrText xml:space="preserve"> PAGE   \* MERGEFORMAT </w:instrText>
        </w:r>
        <w:r>
          <w:fldChar w:fldCharType="separate"/>
        </w:r>
        <w:r>
          <w:t>60</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B5064"/>
    <w:rsid w:val="318F181A"/>
    <w:rsid w:val="44325E3F"/>
    <w:rsid w:val="5AE9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77"/>
        <w:tab w:val="right" w:pos="9355"/>
      </w:tabs>
      <w:spacing w:after="0" w:line="240" w:lineRule="auto"/>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2021-02-26T16:36:00Z</dcterms:created>
  <dc:creator>Lina</dc:creator>
  <cp:lastModifiedBy>Lina</cp:lastModifiedBy>
  <dcterms:modified xsi:type="dcterms:W3CDTF">2021-03-18T15:41:40Z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