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>Номер попереднього аукціону</w:t>
      </w:r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</w:t>
      </w:r>
      <w:r w:rsidR="00521501">
        <w:rPr>
          <w:rFonts w:ascii="Times New Roman" w:hAnsi="Times New Roman" w:cs="Times New Roman"/>
          <w:b/>
          <w:sz w:val="28"/>
          <w:szCs w:val="28"/>
        </w:rPr>
        <w:t>127</w:t>
      </w:r>
      <w:bookmarkStart w:id="0" w:name="_GoBack"/>
      <w:bookmarkEnd w:id="0"/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Банківські реквізити на які переможець аукціону перераховує кошти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>за придбаний об’єкт</w:t>
      </w:r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Найменування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Опис –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r w:rsidR="0077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лікв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дац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йний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Рахунки для сплати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276012"/>
    <w:rsid w:val="003D5108"/>
    <w:rsid w:val="00521501"/>
    <w:rsid w:val="00773EBB"/>
    <w:rsid w:val="00831D43"/>
    <w:rsid w:val="00990B17"/>
    <w:rsid w:val="00B4729B"/>
    <w:rsid w:val="00E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2020-09-15T18:31:00Z</dcterms:created>
  <dcterms:modified xsi:type="dcterms:W3CDTF">2020-09-18T16:23:00Z</dcterms:modified>
</cp:coreProperties>
</file>