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9D76FC" w:rsidP="00E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33D1C">
        <w:rPr>
          <w:sz w:val="22"/>
          <w:szCs w:val="22"/>
        </w:rPr>
        <w:t xml:space="preserve"> </w:t>
      </w:r>
      <w:r w:rsidR="006C46D3">
        <w:rPr>
          <w:sz w:val="22"/>
          <w:szCs w:val="22"/>
        </w:rPr>
        <w:t xml:space="preserve">від 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FE1A5A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FE0C8C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Національний університет "Львівська політехніка"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4631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071010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947C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  <w:proofErr w:type="spellEnd"/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8D62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вул.С.Бандери</w:t>
            </w:r>
            <w:proofErr w:type="spellEnd"/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,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FE0C8C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Бобало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Іванович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FE0C8C" w:rsidP="00FE0C8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A3014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D46EE3" w:rsidRDefault="00AD598C" w:rsidP="00AD598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orendalp</w:t>
            </w:r>
            <w:proofErr w:type="spellEnd"/>
            <w:r w:rsidR="00EB0CF8" w:rsidRPr="003D4BD5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gmail</w:t>
            </w:r>
            <w:proofErr w:type="spellEnd"/>
            <w:r w:rsidR="003D4BD5" w:rsidRPr="003D4BD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510A5" w:rsidRDefault="008510A5" w:rsidP="00F244CA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5">
              <w:rPr>
                <w:rFonts w:ascii="Times New Roman" w:hAnsi="Times New Roman"/>
                <w:sz w:val="24"/>
                <w:szCs w:val="24"/>
              </w:rPr>
              <w:t xml:space="preserve">частини нежитлового приміщення № </w:t>
            </w:r>
            <w:proofErr w:type="spellStart"/>
            <w:r w:rsidRPr="008510A5">
              <w:rPr>
                <w:rFonts w:ascii="Times New Roman" w:hAnsi="Times New Roman"/>
                <w:sz w:val="24"/>
                <w:szCs w:val="24"/>
                <w:lang w:val="en-US"/>
              </w:rPr>
              <w:t>Xa</w:t>
            </w:r>
            <w:proofErr w:type="spellEnd"/>
            <w:r w:rsidRPr="008510A5">
              <w:rPr>
                <w:rFonts w:ascii="Times New Roman" w:hAnsi="Times New Roman"/>
                <w:sz w:val="24"/>
                <w:szCs w:val="24"/>
              </w:rPr>
              <w:t xml:space="preserve"> площею 1,5 </w:t>
            </w:r>
            <w:proofErr w:type="spellStart"/>
            <w:r w:rsidRPr="008510A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510A5">
              <w:rPr>
                <w:rFonts w:ascii="Times New Roman" w:hAnsi="Times New Roman"/>
                <w:sz w:val="24"/>
                <w:szCs w:val="24"/>
              </w:rPr>
              <w:t xml:space="preserve"> та частини нежитлового приміщення №</w:t>
            </w:r>
            <w:proofErr w:type="spellStart"/>
            <w:r w:rsidRPr="008510A5">
              <w:rPr>
                <w:rFonts w:ascii="Times New Roman" w:hAnsi="Times New Roman"/>
                <w:sz w:val="24"/>
                <w:szCs w:val="24"/>
                <w:lang w:val="en-US"/>
              </w:rPr>
              <w:t>XIVa</w:t>
            </w:r>
            <w:proofErr w:type="spellEnd"/>
            <w:r w:rsidRPr="008510A5">
              <w:rPr>
                <w:rFonts w:ascii="Times New Roman" w:hAnsi="Times New Roman"/>
                <w:sz w:val="24"/>
                <w:szCs w:val="24"/>
              </w:rPr>
              <w:t xml:space="preserve"> площею 1,5 </w:t>
            </w:r>
            <w:proofErr w:type="spellStart"/>
            <w:r w:rsidRPr="008510A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510A5">
              <w:rPr>
                <w:rFonts w:ascii="Times New Roman" w:hAnsi="Times New Roman"/>
                <w:sz w:val="24"/>
                <w:szCs w:val="24"/>
              </w:rPr>
              <w:t>, які знаходяться на першому поверсі гуртожитку №4 НУ "Львівська політехніка"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9A0D32" w:rsidP="00B7413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413D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B7413D" w:rsidRDefault="00B7413D" w:rsidP="00B7413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57600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B7413D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ТОВ "Західна 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українська консалтингова компанія"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50E1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1F635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0E16" w:rsidRDefault="00950E16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811EB9" w:rsidRDefault="00950E16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57600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A46CEF" w:rsidP="006F4765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555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розміщення </w:t>
            </w:r>
            <w:r w:rsidR="00972A8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суб’єкта господарювання, що здійснює </w:t>
            </w:r>
            <w:r w:rsidR="00AF4F30">
              <w:rPr>
                <w:rStyle w:val="a6"/>
                <w:rFonts w:ascii="Times New Roman" w:hAnsi="Times New Roman"/>
                <w:sz w:val="24"/>
                <w:szCs w:val="24"/>
              </w:rPr>
              <w:t>побутове обслуговування населення (</w:t>
            </w:r>
            <w:r w:rsidR="006F4765">
              <w:rPr>
                <w:rStyle w:val="a6"/>
                <w:rFonts w:ascii="Times New Roman" w:hAnsi="Times New Roman"/>
                <w:sz w:val="24"/>
                <w:szCs w:val="24"/>
              </w:rPr>
              <w:t>розміщення пральних автоматів)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950E1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місяців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562179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  <w:r w:rsidR="00254D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648201720313281002203001057 </w:t>
            </w:r>
            <w:r w:rsidR="00562179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ДКСУ, МФО 820172</w:t>
            </w:r>
            <w:r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ЄДРПОУ </w:t>
            </w:r>
            <w:r w:rsidR="00A954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>071010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C255E1" w:rsidP="003C355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5E1">
              <w:rPr>
                <w:rFonts w:ascii="Times New Roman" w:hAnsi="Times New Roman"/>
                <w:sz w:val="22"/>
                <w:szCs w:val="22"/>
              </w:rPr>
              <w:t xml:space="preserve">Отримувач: ГУК у 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Львiв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>. обл./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>/22080</w:t>
            </w:r>
            <w:r w:rsidR="003C3552">
              <w:rPr>
                <w:rFonts w:ascii="Times New Roman" w:hAnsi="Times New Roman"/>
                <w:sz w:val="22"/>
                <w:szCs w:val="22"/>
              </w:rPr>
              <w:t>2</w:t>
            </w:r>
            <w:r w:rsidRPr="00C255E1">
              <w:rPr>
                <w:rFonts w:ascii="Times New Roman" w:hAnsi="Times New Roman"/>
                <w:sz w:val="22"/>
                <w:szCs w:val="22"/>
              </w:rPr>
              <w:t xml:space="preserve">00, код отримувача (ЄДРПОУ): 38008294, банк отримувача: Казначейство України (ЕАП), код банку(МФО): 899998, Номер рахунку: </w:t>
            </w:r>
            <w:r w:rsidR="003C3552" w:rsidRPr="00C255E1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="003C3552">
              <w:rPr>
                <w:rFonts w:ascii="Times New Roman" w:hAnsi="Times New Roman"/>
                <w:sz w:val="22"/>
                <w:szCs w:val="22"/>
              </w:rPr>
              <w:t>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960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>березня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6F4765">
              <w:rPr>
                <w:rFonts w:ascii="Times New Roman" w:hAnsi="Times New Roman"/>
                <w:sz w:val="22"/>
                <w:szCs w:val="22"/>
              </w:rPr>
              <w:t>2</w:t>
            </w:r>
            <w:r w:rsidR="000B484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0B484A">
              <w:rPr>
                <w:rFonts w:ascii="Times New Roman" w:hAnsi="Times New Roman"/>
                <w:sz w:val="22"/>
                <w:szCs w:val="22"/>
                <w:lang w:val="ru-RU"/>
              </w:rPr>
              <w:t>листопада 2020</w:t>
            </w:r>
          </w:p>
          <w:p w:rsidR="00EB0CF8" w:rsidRDefault="00EB0CF8" w:rsidP="000B484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D03A3E">
              <w:rPr>
                <w:rFonts w:ascii="Times New Roman" w:hAnsi="Times New Roman"/>
                <w:sz w:val="22"/>
                <w:szCs w:val="22"/>
              </w:rPr>
              <w:t>68-01-</w:t>
            </w:r>
            <w:r w:rsidR="000B484A">
              <w:rPr>
                <w:rFonts w:ascii="Times New Roman" w:hAnsi="Times New Roman"/>
                <w:sz w:val="22"/>
                <w:szCs w:val="22"/>
              </w:rPr>
              <w:t>2041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5252EC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EB0CF8"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F4765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0CF8"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AD3F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</w:t>
      </w:r>
      <w:r w:rsidRPr="00FD2249">
        <w:rPr>
          <w:rFonts w:ascii="Times New Roman" w:hAnsi="Times New Roman"/>
          <w:sz w:val="22"/>
          <w:szCs w:val="22"/>
        </w:rPr>
        <w:lastRenderedPageBreak/>
        <w:t>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</w:t>
      </w:r>
      <w:r w:rsidRPr="00FD2249">
        <w:rPr>
          <w:rFonts w:ascii="Times New Roman" w:hAnsi="Times New Roman"/>
          <w:sz w:val="22"/>
          <w:szCs w:val="22"/>
        </w:rPr>
        <w:lastRenderedPageBreak/>
        <w:t>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11" w:rsidRDefault="009A7F11" w:rsidP="0029676C">
      <w:r>
        <w:separator/>
      </w:r>
    </w:p>
  </w:endnote>
  <w:endnote w:type="continuationSeparator" w:id="0">
    <w:p w:rsidR="009A7F11" w:rsidRDefault="009A7F11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11" w:rsidRDefault="009A7F11" w:rsidP="0029676C">
      <w:r>
        <w:separator/>
      </w:r>
    </w:p>
  </w:footnote>
  <w:footnote w:type="continuationSeparator" w:id="0">
    <w:p w:rsidR="009A7F11" w:rsidRDefault="009A7F11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FE1A5A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FE1A5A">
    <w:pPr>
      <w:framePr w:wrap="around" w:vAnchor="text" w:hAnchor="margin" w:xAlign="center" w:y="1"/>
    </w:pPr>
    <w:fldSimple w:instr="PAGE  ">
      <w:r w:rsidR="008510A5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71F13"/>
    <w:rsid w:val="000838C6"/>
    <w:rsid w:val="00090345"/>
    <w:rsid w:val="000B484A"/>
    <w:rsid w:val="000B7FF7"/>
    <w:rsid w:val="000C3AE7"/>
    <w:rsid w:val="000E71DF"/>
    <w:rsid w:val="00101412"/>
    <w:rsid w:val="001162EB"/>
    <w:rsid w:val="00124FE4"/>
    <w:rsid w:val="00141F49"/>
    <w:rsid w:val="00142F4D"/>
    <w:rsid w:val="0016115F"/>
    <w:rsid w:val="00173104"/>
    <w:rsid w:val="00175F59"/>
    <w:rsid w:val="00181761"/>
    <w:rsid w:val="0019194D"/>
    <w:rsid w:val="00193AEC"/>
    <w:rsid w:val="001A5188"/>
    <w:rsid w:val="001A55B1"/>
    <w:rsid w:val="001C249D"/>
    <w:rsid w:val="001C6E8B"/>
    <w:rsid w:val="001E1282"/>
    <w:rsid w:val="001E5FC1"/>
    <w:rsid w:val="001F24DB"/>
    <w:rsid w:val="001F6356"/>
    <w:rsid w:val="00204B11"/>
    <w:rsid w:val="002056DF"/>
    <w:rsid w:val="00207C53"/>
    <w:rsid w:val="00212F0F"/>
    <w:rsid w:val="00216BD3"/>
    <w:rsid w:val="0023340B"/>
    <w:rsid w:val="0024214F"/>
    <w:rsid w:val="00254D05"/>
    <w:rsid w:val="00264E61"/>
    <w:rsid w:val="00290A85"/>
    <w:rsid w:val="00291C0B"/>
    <w:rsid w:val="0029676C"/>
    <w:rsid w:val="002B51B4"/>
    <w:rsid w:val="002B6CB4"/>
    <w:rsid w:val="002D3D79"/>
    <w:rsid w:val="002D7123"/>
    <w:rsid w:val="002F5F02"/>
    <w:rsid w:val="002F7B1F"/>
    <w:rsid w:val="00301718"/>
    <w:rsid w:val="003026CB"/>
    <w:rsid w:val="0030650F"/>
    <w:rsid w:val="0031102D"/>
    <w:rsid w:val="00326BB0"/>
    <w:rsid w:val="00384F05"/>
    <w:rsid w:val="003929E7"/>
    <w:rsid w:val="003A7994"/>
    <w:rsid w:val="003C3552"/>
    <w:rsid w:val="003D4BD5"/>
    <w:rsid w:val="0040386A"/>
    <w:rsid w:val="00405E47"/>
    <w:rsid w:val="00423CCF"/>
    <w:rsid w:val="004254DA"/>
    <w:rsid w:val="00444619"/>
    <w:rsid w:val="00454971"/>
    <w:rsid w:val="004631B9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94A0F"/>
    <w:rsid w:val="005960CD"/>
    <w:rsid w:val="005A7A5A"/>
    <w:rsid w:val="005C4CBE"/>
    <w:rsid w:val="005E1E80"/>
    <w:rsid w:val="005E5CC7"/>
    <w:rsid w:val="005F0F3A"/>
    <w:rsid w:val="005F69C3"/>
    <w:rsid w:val="005F7275"/>
    <w:rsid w:val="00625C5B"/>
    <w:rsid w:val="00636144"/>
    <w:rsid w:val="006510E8"/>
    <w:rsid w:val="00692292"/>
    <w:rsid w:val="006A6133"/>
    <w:rsid w:val="006A7F8C"/>
    <w:rsid w:val="006C4292"/>
    <w:rsid w:val="006C46D3"/>
    <w:rsid w:val="006C7DC1"/>
    <w:rsid w:val="006D6E2E"/>
    <w:rsid w:val="006F422C"/>
    <w:rsid w:val="006F4765"/>
    <w:rsid w:val="00710DFB"/>
    <w:rsid w:val="00716EC1"/>
    <w:rsid w:val="00733D1C"/>
    <w:rsid w:val="00746F77"/>
    <w:rsid w:val="00764953"/>
    <w:rsid w:val="0076654A"/>
    <w:rsid w:val="007A709E"/>
    <w:rsid w:val="007A7C32"/>
    <w:rsid w:val="007C523B"/>
    <w:rsid w:val="007C7086"/>
    <w:rsid w:val="007D3124"/>
    <w:rsid w:val="008022FD"/>
    <w:rsid w:val="00811EB9"/>
    <w:rsid w:val="008255AB"/>
    <w:rsid w:val="008361AD"/>
    <w:rsid w:val="008400FE"/>
    <w:rsid w:val="00844366"/>
    <w:rsid w:val="008510A5"/>
    <w:rsid w:val="0087220C"/>
    <w:rsid w:val="0087506C"/>
    <w:rsid w:val="00884B71"/>
    <w:rsid w:val="008A0A5D"/>
    <w:rsid w:val="008B6B87"/>
    <w:rsid w:val="008C33F8"/>
    <w:rsid w:val="008D62DE"/>
    <w:rsid w:val="008E2DFD"/>
    <w:rsid w:val="008F02B2"/>
    <w:rsid w:val="008F13A5"/>
    <w:rsid w:val="009269D2"/>
    <w:rsid w:val="009273A2"/>
    <w:rsid w:val="00933FCA"/>
    <w:rsid w:val="0093428F"/>
    <w:rsid w:val="00942949"/>
    <w:rsid w:val="00945B5B"/>
    <w:rsid w:val="00947C0B"/>
    <w:rsid w:val="00950E16"/>
    <w:rsid w:val="00972A81"/>
    <w:rsid w:val="0099102E"/>
    <w:rsid w:val="00993010"/>
    <w:rsid w:val="009936B9"/>
    <w:rsid w:val="009A0D32"/>
    <w:rsid w:val="009A770A"/>
    <w:rsid w:val="009A7F11"/>
    <w:rsid w:val="009B300F"/>
    <w:rsid w:val="009D76FC"/>
    <w:rsid w:val="00A000E3"/>
    <w:rsid w:val="00A00D2E"/>
    <w:rsid w:val="00A00E4A"/>
    <w:rsid w:val="00A13FF6"/>
    <w:rsid w:val="00A21B2E"/>
    <w:rsid w:val="00A26B4F"/>
    <w:rsid w:val="00A3014D"/>
    <w:rsid w:val="00A31C5C"/>
    <w:rsid w:val="00A35249"/>
    <w:rsid w:val="00A46CEF"/>
    <w:rsid w:val="00A56C52"/>
    <w:rsid w:val="00A63F0F"/>
    <w:rsid w:val="00A8032A"/>
    <w:rsid w:val="00A84919"/>
    <w:rsid w:val="00A91A01"/>
    <w:rsid w:val="00A9548C"/>
    <w:rsid w:val="00AD19DB"/>
    <w:rsid w:val="00AD3F01"/>
    <w:rsid w:val="00AD598C"/>
    <w:rsid w:val="00AD7118"/>
    <w:rsid w:val="00AE20EE"/>
    <w:rsid w:val="00AF4F30"/>
    <w:rsid w:val="00B00203"/>
    <w:rsid w:val="00B006A8"/>
    <w:rsid w:val="00B11795"/>
    <w:rsid w:val="00B33B56"/>
    <w:rsid w:val="00B650F9"/>
    <w:rsid w:val="00B7413D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41C4B"/>
    <w:rsid w:val="00C44455"/>
    <w:rsid w:val="00C45155"/>
    <w:rsid w:val="00C6064F"/>
    <w:rsid w:val="00C805B0"/>
    <w:rsid w:val="00C86696"/>
    <w:rsid w:val="00C92F1B"/>
    <w:rsid w:val="00CA0D60"/>
    <w:rsid w:val="00CD4451"/>
    <w:rsid w:val="00CE685D"/>
    <w:rsid w:val="00D03A3E"/>
    <w:rsid w:val="00D34E2B"/>
    <w:rsid w:val="00D3652D"/>
    <w:rsid w:val="00D36B0C"/>
    <w:rsid w:val="00D410E9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4212"/>
    <w:rsid w:val="00DC19E1"/>
    <w:rsid w:val="00DC30E4"/>
    <w:rsid w:val="00DD0457"/>
    <w:rsid w:val="00DD13A1"/>
    <w:rsid w:val="00DD351F"/>
    <w:rsid w:val="00E005D5"/>
    <w:rsid w:val="00E02ED2"/>
    <w:rsid w:val="00E26F43"/>
    <w:rsid w:val="00E52486"/>
    <w:rsid w:val="00E64808"/>
    <w:rsid w:val="00E6640D"/>
    <w:rsid w:val="00E768B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244CA"/>
    <w:rsid w:val="00F53FFB"/>
    <w:rsid w:val="00F54FFE"/>
    <w:rsid w:val="00F55DD2"/>
    <w:rsid w:val="00F57E42"/>
    <w:rsid w:val="00F628A9"/>
    <w:rsid w:val="00F95F16"/>
    <w:rsid w:val="00F962A9"/>
    <w:rsid w:val="00FA3264"/>
    <w:rsid w:val="00FD2249"/>
    <w:rsid w:val="00FD2441"/>
    <w:rsid w:val="00FE0C8C"/>
    <w:rsid w:val="00FE1A5A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0009-70C1-4FF0-ACFB-D19C850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29885</Words>
  <Characters>17035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2020-10-30T09:29:00Z</cp:lastPrinted>
  <dcterms:created xsi:type="dcterms:W3CDTF">2020-12-03T13:27:00Z</dcterms:created>
  <dcterms:modified xsi:type="dcterms:W3CDTF">2020-12-03T13:27:00Z</dcterms:modified>
</cp:coreProperties>
</file>