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B798" w14:textId="7FC3330A" w:rsidR="00C561A4" w:rsidRPr="006E22E6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E22E6">
        <w:rPr>
          <w:rFonts w:ascii="Times New Roman" w:hAnsi="Times New Roman" w:cs="Times New Roman"/>
          <w:b/>
          <w:bCs/>
          <w:lang w:eastAsia="ru-RU"/>
        </w:rPr>
        <w:t>Оголошення</w:t>
      </w:r>
    </w:p>
    <w:p w14:paraId="0E1806EE" w14:textId="0FB75AD5" w:rsidR="00C561A4" w:rsidRPr="006E22E6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E22E6">
        <w:rPr>
          <w:rFonts w:ascii="Times New Roman" w:hAnsi="Times New Roman" w:cs="Times New Roman"/>
          <w:b/>
          <w:bCs/>
          <w:lang w:eastAsia="ru-RU"/>
        </w:rPr>
        <w:t>про проведення аукціону на продовження договору оренди №</w:t>
      </w:r>
      <w:r w:rsidR="00D018A0" w:rsidRPr="006E22E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9F3304" w:rsidRPr="006E22E6">
        <w:rPr>
          <w:rFonts w:ascii="Times New Roman" w:hAnsi="Times New Roman" w:cs="Times New Roman"/>
          <w:b/>
          <w:bCs/>
          <w:lang w:eastAsia="ru-RU"/>
        </w:rPr>
        <w:t>492</w:t>
      </w:r>
      <w:r w:rsidRPr="006E22E6">
        <w:rPr>
          <w:rFonts w:ascii="Times New Roman" w:hAnsi="Times New Roman" w:cs="Times New Roman"/>
          <w:b/>
          <w:bCs/>
          <w:lang w:eastAsia="ru-RU"/>
        </w:rPr>
        <w:t xml:space="preserve"> від </w:t>
      </w:r>
      <w:r w:rsidR="009F3304" w:rsidRPr="006E22E6">
        <w:rPr>
          <w:rFonts w:ascii="Times New Roman" w:hAnsi="Times New Roman" w:cs="Times New Roman"/>
          <w:b/>
          <w:bCs/>
          <w:lang w:eastAsia="ru-RU"/>
        </w:rPr>
        <w:t>24</w:t>
      </w:r>
      <w:r w:rsidRPr="006E22E6">
        <w:rPr>
          <w:rFonts w:ascii="Times New Roman" w:hAnsi="Times New Roman" w:cs="Times New Roman"/>
          <w:b/>
          <w:bCs/>
          <w:lang w:eastAsia="ru-RU"/>
        </w:rPr>
        <w:t>.</w:t>
      </w:r>
      <w:r w:rsidR="009F3304" w:rsidRPr="006E22E6">
        <w:rPr>
          <w:rFonts w:ascii="Times New Roman" w:hAnsi="Times New Roman" w:cs="Times New Roman"/>
          <w:b/>
          <w:bCs/>
          <w:lang w:eastAsia="ru-RU"/>
        </w:rPr>
        <w:t>02</w:t>
      </w:r>
      <w:r w:rsidRPr="006E22E6">
        <w:rPr>
          <w:rFonts w:ascii="Times New Roman" w:hAnsi="Times New Roman" w:cs="Times New Roman"/>
          <w:b/>
          <w:bCs/>
          <w:lang w:eastAsia="ru-RU"/>
        </w:rPr>
        <w:t>.</w:t>
      </w:r>
      <w:r w:rsidR="009F3304" w:rsidRPr="006E22E6">
        <w:rPr>
          <w:rFonts w:ascii="Times New Roman" w:hAnsi="Times New Roman" w:cs="Times New Roman"/>
          <w:b/>
          <w:bCs/>
          <w:lang w:eastAsia="ru-RU"/>
        </w:rPr>
        <w:t>1997</w:t>
      </w:r>
    </w:p>
    <w:p w14:paraId="4ACEA197" w14:textId="61581B8A" w:rsidR="00C561A4" w:rsidRPr="006E22E6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E22E6">
        <w:rPr>
          <w:rFonts w:ascii="Times New Roman" w:hAnsi="Times New Roman" w:cs="Times New Roman"/>
          <w:b/>
          <w:bCs/>
          <w:lang w:eastAsia="ru-RU"/>
        </w:rPr>
        <w:t xml:space="preserve">на нежитлові приміщення площею </w:t>
      </w:r>
      <w:r w:rsidR="00003E5B" w:rsidRPr="006E22E6">
        <w:rPr>
          <w:rFonts w:ascii="Times New Roman" w:hAnsi="Times New Roman" w:cs="Times New Roman"/>
          <w:b/>
          <w:bCs/>
          <w:lang w:eastAsia="ru-RU"/>
        </w:rPr>
        <w:t>151,9</w:t>
      </w:r>
      <w:r w:rsidR="00AF3517" w:rsidRPr="006E22E6">
        <w:rPr>
          <w:rFonts w:ascii="Times New Roman" w:hAnsi="Times New Roman" w:cs="Times New Roman"/>
          <w:b/>
          <w:bCs/>
          <w:lang w:eastAsia="ru-RU"/>
        </w:rPr>
        <w:t> </w:t>
      </w:r>
      <w:proofErr w:type="spellStart"/>
      <w:r w:rsidRPr="006E22E6">
        <w:rPr>
          <w:rFonts w:ascii="Times New Roman" w:hAnsi="Times New Roman" w:cs="Times New Roman"/>
          <w:b/>
          <w:bCs/>
          <w:lang w:eastAsia="ru-RU"/>
        </w:rPr>
        <w:t>кв.м</w:t>
      </w:r>
      <w:proofErr w:type="spellEnd"/>
      <w:r w:rsidRPr="006E22E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003E5B" w:rsidRPr="006E22E6">
        <w:rPr>
          <w:rFonts w:ascii="Times New Roman" w:hAnsi="Times New Roman" w:cs="Times New Roman"/>
          <w:b/>
          <w:bCs/>
          <w:lang w:eastAsia="ru-RU"/>
        </w:rPr>
        <w:t xml:space="preserve">в житловому будинку </w:t>
      </w:r>
      <w:r w:rsidRPr="006E22E6">
        <w:rPr>
          <w:rFonts w:ascii="Times New Roman" w:hAnsi="Times New Roman" w:cs="Times New Roman"/>
          <w:b/>
          <w:bCs/>
          <w:lang w:eastAsia="ru-RU"/>
        </w:rPr>
        <w:t>за адресою: м.</w:t>
      </w:r>
      <w:r w:rsidR="00D018A0" w:rsidRPr="006E22E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E22E6">
        <w:rPr>
          <w:rFonts w:ascii="Times New Roman" w:hAnsi="Times New Roman" w:cs="Times New Roman"/>
          <w:b/>
          <w:bCs/>
          <w:lang w:eastAsia="ru-RU"/>
        </w:rPr>
        <w:t xml:space="preserve">Харків, вул. </w:t>
      </w:r>
      <w:r w:rsidR="009F3304" w:rsidRPr="006E22E6">
        <w:rPr>
          <w:rFonts w:ascii="Times New Roman" w:hAnsi="Times New Roman" w:cs="Times New Roman"/>
          <w:b/>
          <w:bCs/>
          <w:lang w:eastAsia="ru-RU"/>
        </w:rPr>
        <w:t>Михайлика</w:t>
      </w:r>
      <w:r w:rsidRPr="006E22E6">
        <w:rPr>
          <w:rFonts w:ascii="Times New Roman" w:hAnsi="Times New Roman" w:cs="Times New Roman"/>
          <w:b/>
          <w:bCs/>
          <w:lang w:eastAsia="ru-RU"/>
        </w:rPr>
        <w:t xml:space="preserve">, </w:t>
      </w:r>
      <w:r w:rsidR="009F3304" w:rsidRPr="006E22E6">
        <w:rPr>
          <w:rFonts w:ascii="Times New Roman" w:hAnsi="Times New Roman" w:cs="Times New Roman"/>
          <w:b/>
          <w:bCs/>
          <w:lang w:eastAsia="ru-RU"/>
        </w:rPr>
        <w:t>2</w:t>
      </w:r>
      <w:r w:rsidRPr="006E22E6">
        <w:rPr>
          <w:rFonts w:ascii="Times New Roman" w:hAnsi="Times New Roman" w:cs="Times New Roman"/>
          <w:b/>
          <w:bCs/>
          <w:lang w:eastAsia="ru-RU"/>
        </w:rPr>
        <w:t>, літ.</w:t>
      </w:r>
      <w:r w:rsidR="00D018A0" w:rsidRPr="006E22E6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6E22E6">
        <w:rPr>
          <w:rFonts w:ascii="Times New Roman" w:hAnsi="Times New Roman" w:cs="Times New Roman"/>
          <w:b/>
          <w:bCs/>
          <w:lang w:eastAsia="ru-RU"/>
        </w:rPr>
        <w:t>«</w:t>
      </w:r>
      <w:r w:rsidR="009F3304" w:rsidRPr="006E22E6">
        <w:rPr>
          <w:rFonts w:ascii="Times New Roman" w:hAnsi="Times New Roman" w:cs="Times New Roman"/>
          <w:b/>
          <w:bCs/>
          <w:lang w:eastAsia="ru-RU"/>
        </w:rPr>
        <w:t>А</w:t>
      </w:r>
      <w:r w:rsidRPr="006E22E6">
        <w:rPr>
          <w:rFonts w:ascii="Times New Roman" w:hAnsi="Times New Roman" w:cs="Times New Roman"/>
          <w:b/>
          <w:bCs/>
          <w:lang w:eastAsia="ru-RU"/>
        </w:rPr>
        <w:t>-</w:t>
      </w:r>
      <w:r w:rsidR="009F3304" w:rsidRPr="006E22E6">
        <w:rPr>
          <w:rFonts w:ascii="Times New Roman" w:hAnsi="Times New Roman" w:cs="Times New Roman"/>
          <w:b/>
          <w:bCs/>
          <w:lang w:eastAsia="ru-RU"/>
        </w:rPr>
        <w:t>9</w:t>
      </w:r>
      <w:r w:rsidRPr="006E22E6">
        <w:rPr>
          <w:rFonts w:ascii="Times New Roman" w:hAnsi="Times New Roman" w:cs="Times New Roman"/>
          <w:b/>
          <w:bCs/>
          <w:lang w:eastAsia="ru-RU"/>
        </w:rPr>
        <w:t>»</w:t>
      </w:r>
    </w:p>
    <w:p w14:paraId="741A027B" w14:textId="4F8592D6" w:rsidR="00C561A4" w:rsidRPr="006E22E6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1"/>
        <w:gridCol w:w="7512"/>
      </w:tblGrid>
      <w:tr w:rsidR="006E22E6" w:rsidRPr="006E22E6" w14:paraId="3EDAFF04" w14:textId="77777777" w:rsidTr="000E1C12">
        <w:trPr>
          <w:cantSplit/>
        </w:trPr>
        <w:tc>
          <w:tcPr>
            <w:tcW w:w="8011" w:type="dxa"/>
          </w:tcPr>
          <w:p w14:paraId="24DE26B7" w14:textId="77777777" w:rsidR="00C561A4" w:rsidRPr="006E22E6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22E6">
              <w:rPr>
                <w:rFonts w:ascii="Times New Roman" w:hAnsi="Times New Roman" w:cs="Times New Roman"/>
                <w:b/>
                <w:bCs/>
                <w:lang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512" w:type="dxa"/>
          </w:tcPr>
          <w:p w14:paraId="79800209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E22E6" w:rsidRPr="006E22E6" w14:paraId="4891718A" w14:textId="77777777" w:rsidTr="000E1C12">
        <w:trPr>
          <w:cantSplit/>
        </w:trPr>
        <w:tc>
          <w:tcPr>
            <w:tcW w:w="8011" w:type="dxa"/>
          </w:tcPr>
          <w:p w14:paraId="72761E15" w14:textId="77777777" w:rsidR="00C561A4" w:rsidRPr="006E22E6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1.1. найменування орендаря</w:t>
            </w:r>
          </w:p>
        </w:tc>
        <w:tc>
          <w:tcPr>
            <w:tcW w:w="7512" w:type="dxa"/>
          </w:tcPr>
          <w:p w14:paraId="386CFF78" w14:textId="7745B6BC" w:rsidR="00C561A4" w:rsidRPr="006E22E6" w:rsidRDefault="009F330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Товариство з обмеженою відповідальністю </w:t>
            </w:r>
            <w:r w:rsidR="00234C11" w:rsidRPr="006E22E6">
              <w:rPr>
                <w:rFonts w:ascii="Times New Roman" w:hAnsi="Times New Roman" w:cs="Times New Roman"/>
                <w:lang w:eastAsia="ru-RU"/>
              </w:rPr>
              <w:t>«</w:t>
            </w:r>
            <w:r w:rsidRPr="006E22E6">
              <w:rPr>
                <w:rFonts w:ascii="Times New Roman" w:hAnsi="Times New Roman" w:cs="Times New Roman"/>
                <w:lang w:eastAsia="ru-RU"/>
              </w:rPr>
              <w:t>Меркурій</w:t>
            </w:r>
            <w:r w:rsidR="00234C11" w:rsidRPr="006E22E6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</w:tr>
      <w:tr w:rsidR="006E22E6" w:rsidRPr="006E22E6" w14:paraId="2F2B7B1D" w14:textId="77777777" w:rsidTr="000E1C12">
        <w:trPr>
          <w:cantSplit/>
        </w:trPr>
        <w:tc>
          <w:tcPr>
            <w:tcW w:w="8011" w:type="dxa"/>
          </w:tcPr>
          <w:p w14:paraId="0EBD97E6" w14:textId="77777777" w:rsidR="00C561A4" w:rsidRPr="006E22E6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1.2. найменування і адреса орендодавця</w:t>
            </w:r>
          </w:p>
        </w:tc>
        <w:tc>
          <w:tcPr>
            <w:tcW w:w="7512" w:type="dxa"/>
          </w:tcPr>
          <w:p w14:paraId="1A790116" w14:textId="0B909FA5" w:rsidR="00C561A4" w:rsidRPr="006E22E6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14095412, адреса: 61003, м.</w:t>
            </w:r>
            <w:r w:rsidR="00AF3517" w:rsidRPr="006E22E6">
              <w:rPr>
                <w:rFonts w:ascii="Times New Roman" w:hAnsi="Times New Roman" w:cs="Times New Roman"/>
                <w:lang w:eastAsia="ru-RU"/>
              </w:rPr>
              <w:t> </w:t>
            </w:r>
            <w:r w:rsidRPr="006E22E6">
              <w:rPr>
                <w:rFonts w:ascii="Times New Roman" w:hAnsi="Times New Roman" w:cs="Times New Roman"/>
                <w:lang w:eastAsia="ru-RU"/>
              </w:rPr>
              <w:t xml:space="preserve">Харків, майдан Конституції, 16. Контактні дані: начальник Управління </w:t>
            </w:r>
            <w:proofErr w:type="spellStart"/>
            <w:r w:rsidRPr="006E22E6">
              <w:rPr>
                <w:rFonts w:ascii="Times New Roman" w:hAnsi="Times New Roman" w:cs="Times New Roman"/>
                <w:lang w:eastAsia="ru-RU"/>
              </w:rPr>
              <w:t>Солошкін</w:t>
            </w:r>
            <w:proofErr w:type="spellEnd"/>
            <w:r w:rsidRPr="006E22E6">
              <w:rPr>
                <w:rFonts w:ascii="Times New Roman" w:hAnsi="Times New Roman" w:cs="Times New Roman"/>
                <w:lang w:eastAsia="ru-RU"/>
              </w:rPr>
              <w:t xml:space="preserve"> Володимир Миколайович, контактний телефон +38(057)725-25-30, адреса електронної пошти </w:t>
            </w:r>
            <w:hyperlink r:id="rId7" w:history="1">
              <w:r w:rsidRPr="006E22E6">
                <w:rPr>
                  <w:rStyle w:val="a4"/>
                  <w:rFonts w:ascii="Times New Roman" w:hAnsi="Times New Roman" w:cs="Times New Roman"/>
                  <w:color w:val="auto"/>
                  <w:lang w:eastAsia="ru-RU"/>
                </w:rPr>
                <w:t>ukmp@citynet.kharkov.ua</w:t>
              </w:r>
            </w:hyperlink>
          </w:p>
        </w:tc>
      </w:tr>
      <w:tr w:rsidR="006E22E6" w:rsidRPr="006E22E6" w14:paraId="3E17ECE0" w14:textId="77777777" w:rsidTr="000E1C12">
        <w:trPr>
          <w:cantSplit/>
        </w:trPr>
        <w:tc>
          <w:tcPr>
            <w:tcW w:w="8011" w:type="dxa"/>
          </w:tcPr>
          <w:p w14:paraId="321EE45F" w14:textId="77777777" w:rsidR="00C561A4" w:rsidRPr="006E22E6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1.3. найменування та адреса балансоутримувача</w:t>
            </w:r>
          </w:p>
        </w:tc>
        <w:tc>
          <w:tcPr>
            <w:tcW w:w="7512" w:type="dxa"/>
          </w:tcPr>
          <w:p w14:paraId="662BEC5F" w14:textId="2A0F5FB5" w:rsidR="00C561A4" w:rsidRPr="006E22E6" w:rsidRDefault="00B729EC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КП «</w:t>
            </w:r>
            <w:proofErr w:type="spellStart"/>
            <w:r w:rsidRPr="006E22E6">
              <w:rPr>
                <w:rFonts w:ascii="Times New Roman" w:hAnsi="Times New Roman" w:cs="Times New Roman"/>
                <w:lang w:eastAsia="ru-RU"/>
              </w:rPr>
              <w:t>Жилкомсервіс</w:t>
            </w:r>
            <w:proofErr w:type="spellEnd"/>
            <w:r w:rsidRPr="006E22E6">
              <w:rPr>
                <w:rFonts w:ascii="Times New Roman" w:hAnsi="Times New Roman" w:cs="Times New Roman"/>
                <w:lang w:eastAsia="ru-RU"/>
              </w:rPr>
              <w:t>», адреса: 61052, м. Харків, вул. Конторська, 35</w:t>
            </w:r>
          </w:p>
        </w:tc>
      </w:tr>
      <w:tr w:rsidR="006E22E6" w:rsidRPr="006E22E6" w14:paraId="50AF8F23" w14:textId="77777777" w:rsidTr="000E1C12">
        <w:trPr>
          <w:cantSplit/>
        </w:trPr>
        <w:tc>
          <w:tcPr>
            <w:tcW w:w="8011" w:type="dxa"/>
          </w:tcPr>
          <w:p w14:paraId="36E72A96" w14:textId="77777777" w:rsidR="00C561A4" w:rsidRPr="006E22E6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1.4. дата укладення договору оренди</w:t>
            </w:r>
          </w:p>
        </w:tc>
        <w:tc>
          <w:tcPr>
            <w:tcW w:w="7512" w:type="dxa"/>
          </w:tcPr>
          <w:p w14:paraId="5D5994D5" w14:textId="475E8E32" w:rsidR="00C561A4" w:rsidRPr="006E22E6" w:rsidRDefault="009F3304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24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.</w:t>
            </w:r>
            <w:r w:rsidRPr="006E22E6">
              <w:rPr>
                <w:rFonts w:ascii="Times New Roman" w:hAnsi="Times New Roman" w:cs="Times New Roman"/>
                <w:lang w:eastAsia="ru-RU"/>
              </w:rPr>
              <w:t>02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.</w:t>
            </w:r>
            <w:r w:rsidRPr="006E22E6">
              <w:rPr>
                <w:rFonts w:ascii="Times New Roman" w:hAnsi="Times New Roman" w:cs="Times New Roman"/>
                <w:lang w:eastAsia="ru-RU"/>
              </w:rPr>
              <w:t>1997</w:t>
            </w:r>
          </w:p>
        </w:tc>
      </w:tr>
      <w:tr w:rsidR="006E22E6" w:rsidRPr="006E22E6" w14:paraId="4A8369B6" w14:textId="77777777" w:rsidTr="000E1C12">
        <w:trPr>
          <w:cantSplit/>
        </w:trPr>
        <w:tc>
          <w:tcPr>
            <w:tcW w:w="8011" w:type="dxa"/>
          </w:tcPr>
          <w:p w14:paraId="7A1310CC" w14:textId="77777777" w:rsidR="00C561A4" w:rsidRPr="006E22E6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1.5. дата закінчення договору оренди</w:t>
            </w:r>
          </w:p>
        </w:tc>
        <w:tc>
          <w:tcPr>
            <w:tcW w:w="7512" w:type="dxa"/>
          </w:tcPr>
          <w:p w14:paraId="48784F34" w14:textId="6297D996" w:rsidR="00C561A4" w:rsidRPr="006E22E6" w:rsidRDefault="009F3304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24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.1</w:t>
            </w:r>
            <w:r w:rsidR="007331D5" w:rsidRPr="006E22E6">
              <w:rPr>
                <w:rFonts w:ascii="Times New Roman" w:hAnsi="Times New Roman" w:cs="Times New Roman"/>
                <w:lang w:eastAsia="ru-RU"/>
              </w:rPr>
              <w:t>0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.2020</w:t>
            </w:r>
          </w:p>
        </w:tc>
      </w:tr>
      <w:tr w:rsidR="006E22E6" w:rsidRPr="006E22E6" w14:paraId="11F43AEB" w14:textId="77777777" w:rsidTr="000E1C12">
        <w:trPr>
          <w:cantSplit/>
        </w:trPr>
        <w:tc>
          <w:tcPr>
            <w:tcW w:w="8011" w:type="dxa"/>
          </w:tcPr>
          <w:p w14:paraId="2E7B5392" w14:textId="77777777" w:rsidR="00C561A4" w:rsidRPr="006E22E6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512" w:type="dxa"/>
          </w:tcPr>
          <w:p w14:paraId="4C41C375" w14:textId="77777777" w:rsidR="00C561A4" w:rsidRPr="006E22E6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6E22E6" w:rsidRPr="006E22E6" w14:paraId="2589AE94" w14:textId="77777777" w:rsidTr="000E1C12">
        <w:trPr>
          <w:cantSplit/>
        </w:trPr>
        <w:tc>
          <w:tcPr>
            <w:tcW w:w="8011" w:type="dxa"/>
          </w:tcPr>
          <w:p w14:paraId="618513EC" w14:textId="77777777" w:rsidR="00C561A4" w:rsidRPr="006E22E6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E22E6">
              <w:rPr>
                <w:rFonts w:ascii="Times New Roman" w:hAnsi="Times New Roman" w:cs="Times New Roman"/>
                <w:b/>
                <w:lang w:eastAsia="ru-RU"/>
              </w:rPr>
              <w:t xml:space="preserve">Інформація про об’єкт оренди </w:t>
            </w:r>
          </w:p>
        </w:tc>
        <w:tc>
          <w:tcPr>
            <w:tcW w:w="7512" w:type="dxa"/>
          </w:tcPr>
          <w:p w14:paraId="495A3AAC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E22E6" w:rsidRPr="006E22E6" w14:paraId="5EAFE515" w14:textId="77777777" w:rsidTr="000E1C12">
        <w:trPr>
          <w:cantSplit/>
        </w:trPr>
        <w:tc>
          <w:tcPr>
            <w:tcW w:w="8011" w:type="dxa"/>
          </w:tcPr>
          <w:p w14:paraId="2DFB324B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2.1. загальна інформація про об’єкт оренди:</w:t>
            </w:r>
          </w:p>
        </w:tc>
        <w:tc>
          <w:tcPr>
            <w:tcW w:w="7512" w:type="dxa"/>
          </w:tcPr>
          <w:p w14:paraId="18C52883" w14:textId="77777777" w:rsidR="00C561A4" w:rsidRPr="006E22E6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6E22E6" w:rsidRPr="006E22E6" w14:paraId="763A5AA0" w14:textId="77777777" w:rsidTr="000E1C12">
        <w:trPr>
          <w:cantSplit/>
        </w:trPr>
        <w:tc>
          <w:tcPr>
            <w:tcW w:w="8011" w:type="dxa"/>
          </w:tcPr>
          <w:p w14:paraId="1CF43903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512" w:type="dxa"/>
          </w:tcPr>
          <w:p w14:paraId="603BEE85" w14:textId="77777777" w:rsidR="00C561A4" w:rsidRPr="006E22E6" w:rsidRDefault="00C561A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sz w:val="22"/>
                <w:szCs w:val="22"/>
              </w:rPr>
              <w:t>нерухоме майно</w:t>
            </w:r>
          </w:p>
        </w:tc>
      </w:tr>
      <w:tr w:rsidR="006E22E6" w:rsidRPr="006E22E6" w14:paraId="26247F2D" w14:textId="77777777" w:rsidTr="000E1C12">
        <w:trPr>
          <w:cantSplit/>
        </w:trPr>
        <w:tc>
          <w:tcPr>
            <w:tcW w:w="8011" w:type="dxa"/>
          </w:tcPr>
          <w:p w14:paraId="37B3A50F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512" w:type="dxa"/>
          </w:tcPr>
          <w:p w14:paraId="01D010E3" w14:textId="7413A095" w:rsidR="00C561A4" w:rsidRPr="006E22E6" w:rsidRDefault="00C561A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sz w:val="22"/>
                <w:szCs w:val="22"/>
              </w:rPr>
              <w:t xml:space="preserve">м. Харків, вул. </w:t>
            </w:r>
            <w:r w:rsidR="009F3304" w:rsidRPr="006E22E6">
              <w:rPr>
                <w:rFonts w:eastAsia="Times New Roman"/>
                <w:sz w:val="22"/>
                <w:szCs w:val="22"/>
              </w:rPr>
              <w:t>Михайлика</w:t>
            </w:r>
            <w:r w:rsidRPr="006E22E6">
              <w:rPr>
                <w:rFonts w:eastAsia="Times New Roman"/>
                <w:sz w:val="22"/>
                <w:szCs w:val="22"/>
              </w:rPr>
              <w:t xml:space="preserve">, </w:t>
            </w:r>
            <w:r w:rsidR="009F3304" w:rsidRPr="006E22E6">
              <w:rPr>
                <w:rFonts w:eastAsia="Times New Roman"/>
                <w:sz w:val="22"/>
                <w:szCs w:val="22"/>
              </w:rPr>
              <w:t>2</w:t>
            </w:r>
            <w:r w:rsidRPr="006E22E6">
              <w:rPr>
                <w:rFonts w:eastAsia="Times New Roman"/>
                <w:sz w:val="22"/>
                <w:szCs w:val="22"/>
              </w:rPr>
              <w:t>, літ. «</w:t>
            </w:r>
            <w:r w:rsidR="009F3304" w:rsidRPr="006E22E6">
              <w:rPr>
                <w:rFonts w:eastAsia="Times New Roman"/>
                <w:sz w:val="22"/>
                <w:szCs w:val="22"/>
              </w:rPr>
              <w:t>А</w:t>
            </w:r>
            <w:r w:rsidRPr="006E22E6">
              <w:rPr>
                <w:rFonts w:eastAsia="Times New Roman"/>
                <w:sz w:val="22"/>
                <w:szCs w:val="22"/>
              </w:rPr>
              <w:t>-</w:t>
            </w:r>
            <w:r w:rsidR="009F3304" w:rsidRPr="006E22E6">
              <w:rPr>
                <w:rFonts w:eastAsia="Times New Roman"/>
                <w:sz w:val="22"/>
                <w:szCs w:val="22"/>
              </w:rPr>
              <w:t>9</w:t>
            </w:r>
            <w:r w:rsidRPr="006E22E6">
              <w:rPr>
                <w:rFonts w:eastAsia="Times New Roman"/>
                <w:sz w:val="22"/>
                <w:szCs w:val="22"/>
              </w:rPr>
              <w:t>»</w:t>
            </w:r>
          </w:p>
        </w:tc>
      </w:tr>
      <w:tr w:rsidR="006E22E6" w:rsidRPr="006E22E6" w14:paraId="784CFBE1" w14:textId="77777777" w:rsidTr="000E1C12">
        <w:trPr>
          <w:cantSplit/>
        </w:trPr>
        <w:tc>
          <w:tcPr>
            <w:tcW w:w="8011" w:type="dxa"/>
          </w:tcPr>
          <w:p w14:paraId="612FA95B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512" w:type="dxa"/>
          </w:tcPr>
          <w:p w14:paraId="7C80E7E3" w14:textId="4D312388" w:rsidR="00C561A4" w:rsidRPr="006E22E6" w:rsidRDefault="009F330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sz w:val="22"/>
                <w:szCs w:val="22"/>
              </w:rPr>
              <w:t>151,9</w:t>
            </w:r>
            <w:r w:rsidR="006F20C7" w:rsidRPr="006E22E6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C561A4" w:rsidRPr="006E22E6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</w:p>
        </w:tc>
      </w:tr>
      <w:tr w:rsidR="006E22E6" w:rsidRPr="006E22E6" w14:paraId="4F0346A4" w14:textId="77777777" w:rsidTr="000E1C12">
        <w:trPr>
          <w:cantSplit/>
        </w:trPr>
        <w:tc>
          <w:tcPr>
            <w:tcW w:w="8011" w:type="dxa"/>
          </w:tcPr>
          <w:p w14:paraId="3C67CFDD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6E22E6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512" w:type="dxa"/>
          </w:tcPr>
          <w:p w14:paraId="759E2521" w14:textId="05565B88" w:rsidR="00C561A4" w:rsidRPr="006E22E6" w:rsidRDefault="009F330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sz w:val="22"/>
                <w:szCs w:val="22"/>
              </w:rPr>
              <w:t xml:space="preserve">нежитлові </w:t>
            </w:r>
            <w:r w:rsidR="00C561A4" w:rsidRPr="006E22E6">
              <w:rPr>
                <w:rFonts w:eastAsia="Times New Roman"/>
                <w:sz w:val="22"/>
                <w:szCs w:val="22"/>
              </w:rPr>
              <w:t xml:space="preserve">приміщення </w:t>
            </w:r>
            <w:r w:rsidRPr="006E22E6">
              <w:rPr>
                <w:rFonts w:eastAsia="Times New Roman"/>
                <w:sz w:val="22"/>
                <w:szCs w:val="22"/>
              </w:rPr>
              <w:t>1</w:t>
            </w:r>
            <w:r w:rsidR="007331D5" w:rsidRPr="006E22E6">
              <w:rPr>
                <w:rFonts w:eastAsia="Times New Roman"/>
                <w:sz w:val="22"/>
                <w:szCs w:val="22"/>
              </w:rPr>
              <w:t>-го поверху</w:t>
            </w:r>
            <w:r w:rsidR="00C561A4" w:rsidRPr="006E22E6">
              <w:rPr>
                <w:rFonts w:eastAsia="Times New Roman"/>
                <w:sz w:val="22"/>
                <w:szCs w:val="22"/>
              </w:rPr>
              <w:t xml:space="preserve"> №</w:t>
            </w:r>
            <w:r w:rsidR="00D018A0" w:rsidRPr="006E22E6">
              <w:rPr>
                <w:rFonts w:eastAsia="Times New Roman"/>
                <w:sz w:val="22"/>
                <w:szCs w:val="22"/>
              </w:rPr>
              <w:t xml:space="preserve"> </w:t>
            </w:r>
            <w:r w:rsidRPr="006E22E6">
              <w:rPr>
                <w:rFonts w:eastAsia="Times New Roman"/>
                <w:sz w:val="22"/>
                <w:szCs w:val="22"/>
              </w:rPr>
              <w:t xml:space="preserve">1-:-12 площею 99,3 </w:t>
            </w:r>
            <w:proofErr w:type="spellStart"/>
            <w:r w:rsidRPr="006E22E6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Pr="006E22E6">
              <w:rPr>
                <w:rFonts w:eastAsia="Times New Roman"/>
                <w:sz w:val="22"/>
                <w:szCs w:val="22"/>
              </w:rPr>
              <w:t xml:space="preserve"> та підвальні приміщення № 1-:-4 площею 52,6 </w:t>
            </w:r>
            <w:proofErr w:type="spellStart"/>
            <w:r w:rsidRPr="006E22E6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C561A4" w:rsidRPr="006E22E6">
              <w:rPr>
                <w:rFonts w:eastAsia="Times New Roman"/>
                <w:sz w:val="22"/>
                <w:szCs w:val="22"/>
              </w:rPr>
              <w:t xml:space="preserve"> </w:t>
            </w:r>
            <w:r w:rsidRPr="006E22E6">
              <w:rPr>
                <w:rFonts w:eastAsia="Times New Roman"/>
                <w:sz w:val="22"/>
                <w:szCs w:val="22"/>
              </w:rPr>
              <w:t>житлового будинку</w:t>
            </w:r>
            <w:r w:rsidR="006E22E6" w:rsidRPr="006E22E6">
              <w:rPr>
                <w:rFonts w:eastAsia="Times New Roman"/>
                <w:sz w:val="22"/>
                <w:szCs w:val="22"/>
              </w:rPr>
              <w:t xml:space="preserve">, </w:t>
            </w:r>
            <w:r w:rsidR="006E22E6" w:rsidRPr="006E22E6">
              <w:rPr>
                <w:rFonts w:eastAsia="Times New Roman"/>
                <w:sz w:val="22"/>
                <w:szCs w:val="22"/>
              </w:rPr>
              <w:t>вхід до яких здійснюється з суміжних приміщень, які є приватною власністю</w:t>
            </w:r>
            <w:r w:rsidR="006E22E6" w:rsidRPr="006E22E6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6E22E6" w:rsidRPr="006E22E6" w14:paraId="0818EA17" w14:textId="77777777" w:rsidTr="000E1C12">
        <w:trPr>
          <w:cantSplit/>
        </w:trPr>
        <w:tc>
          <w:tcPr>
            <w:tcW w:w="8011" w:type="dxa"/>
          </w:tcPr>
          <w:p w14:paraId="4BB9F1E5" w14:textId="77777777" w:rsidR="00C561A4" w:rsidRPr="006E22E6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512" w:type="dxa"/>
          </w:tcPr>
          <w:p w14:paraId="3781C2BF" w14:textId="05639B27" w:rsidR="00C561A4" w:rsidRPr="006E22E6" w:rsidRDefault="00C561A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sz w:val="22"/>
                <w:szCs w:val="22"/>
              </w:rPr>
              <w:t>санітарно-технічний стан задовільний, на об’єкті оренди є водопостачання, водовідведення, електропостачання</w:t>
            </w:r>
            <w:r w:rsidR="008369FB" w:rsidRPr="006E22E6">
              <w:rPr>
                <w:rFonts w:eastAsia="Times New Roman"/>
                <w:sz w:val="22"/>
                <w:szCs w:val="22"/>
              </w:rPr>
              <w:t xml:space="preserve">, </w:t>
            </w:r>
            <w:r w:rsidR="009F3304" w:rsidRPr="006E22E6">
              <w:rPr>
                <w:rFonts w:eastAsia="Times New Roman"/>
                <w:sz w:val="22"/>
                <w:szCs w:val="22"/>
              </w:rPr>
              <w:t>теплопостачання</w:t>
            </w:r>
          </w:p>
        </w:tc>
      </w:tr>
      <w:tr w:rsidR="006E22E6" w:rsidRPr="006E22E6" w14:paraId="1B1F12FF" w14:textId="77777777" w:rsidTr="000E1C12">
        <w:trPr>
          <w:cantSplit/>
        </w:trPr>
        <w:tc>
          <w:tcPr>
            <w:tcW w:w="8011" w:type="dxa"/>
          </w:tcPr>
          <w:p w14:paraId="3ED91985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512" w:type="dxa"/>
          </w:tcPr>
          <w:p w14:paraId="29B4E0C1" w14:textId="77777777" w:rsidR="00C561A4" w:rsidRPr="006E22E6" w:rsidRDefault="00C561A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sz w:val="22"/>
                <w:szCs w:val="22"/>
              </w:rPr>
              <w:t>додається</w:t>
            </w:r>
          </w:p>
        </w:tc>
      </w:tr>
      <w:tr w:rsidR="006E22E6" w:rsidRPr="006E22E6" w14:paraId="29205611" w14:textId="77777777" w:rsidTr="000E1C12">
        <w:trPr>
          <w:cantSplit/>
        </w:trPr>
        <w:tc>
          <w:tcPr>
            <w:tcW w:w="8011" w:type="dxa"/>
          </w:tcPr>
          <w:p w14:paraId="12289409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512" w:type="dxa"/>
          </w:tcPr>
          <w:p w14:paraId="39C3D71D" w14:textId="77777777" w:rsidR="00C561A4" w:rsidRPr="006E22E6" w:rsidRDefault="00C561A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sz w:val="22"/>
                <w:szCs w:val="22"/>
              </w:rPr>
              <w:t>додається</w:t>
            </w:r>
          </w:p>
        </w:tc>
      </w:tr>
      <w:tr w:rsidR="006E22E6" w:rsidRPr="006E22E6" w14:paraId="24F615FF" w14:textId="77777777" w:rsidTr="000E1C12">
        <w:trPr>
          <w:cantSplit/>
        </w:trPr>
        <w:tc>
          <w:tcPr>
            <w:tcW w:w="8011" w:type="dxa"/>
          </w:tcPr>
          <w:p w14:paraId="58929E8B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512" w:type="dxa"/>
          </w:tcPr>
          <w:p w14:paraId="0BD92892" w14:textId="5DFC539F" w:rsidR="00C561A4" w:rsidRPr="006E22E6" w:rsidRDefault="009F330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sz w:val="22"/>
                <w:szCs w:val="22"/>
              </w:rPr>
              <w:t>404</w:t>
            </w:r>
            <w:r w:rsidR="00F643AF" w:rsidRPr="006E22E6">
              <w:rPr>
                <w:rFonts w:eastAsia="Times New Roman"/>
                <w:sz w:val="22"/>
                <w:szCs w:val="22"/>
              </w:rPr>
              <w:t> </w:t>
            </w:r>
            <w:r w:rsidRPr="006E22E6">
              <w:rPr>
                <w:rFonts w:eastAsia="Times New Roman"/>
                <w:sz w:val="22"/>
                <w:szCs w:val="22"/>
              </w:rPr>
              <w:t>800</w:t>
            </w:r>
            <w:r w:rsidR="00C561A4" w:rsidRPr="006E22E6">
              <w:rPr>
                <w:rFonts w:eastAsia="Times New Roman"/>
                <w:sz w:val="22"/>
                <w:szCs w:val="22"/>
              </w:rPr>
              <w:t xml:space="preserve">,00 грн. станом на </w:t>
            </w:r>
            <w:r w:rsidR="008369FB" w:rsidRPr="006E22E6">
              <w:rPr>
                <w:rFonts w:eastAsia="Times New Roman"/>
                <w:sz w:val="22"/>
                <w:szCs w:val="22"/>
              </w:rPr>
              <w:t>30</w:t>
            </w:r>
            <w:r w:rsidR="00C561A4" w:rsidRPr="006E22E6">
              <w:rPr>
                <w:rFonts w:eastAsia="Times New Roman"/>
                <w:sz w:val="22"/>
                <w:szCs w:val="22"/>
              </w:rPr>
              <w:t>.0</w:t>
            </w:r>
            <w:r w:rsidRPr="006E22E6">
              <w:rPr>
                <w:rFonts w:eastAsia="Times New Roman"/>
                <w:sz w:val="22"/>
                <w:szCs w:val="22"/>
              </w:rPr>
              <w:t>7</w:t>
            </w:r>
            <w:r w:rsidR="00C561A4" w:rsidRPr="006E22E6">
              <w:rPr>
                <w:rFonts w:eastAsia="Times New Roman"/>
                <w:sz w:val="22"/>
                <w:szCs w:val="22"/>
              </w:rPr>
              <w:t>.2020</w:t>
            </w:r>
          </w:p>
        </w:tc>
      </w:tr>
      <w:tr w:rsidR="006E22E6" w:rsidRPr="006E22E6" w14:paraId="671FA889" w14:textId="77777777" w:rsidTr="000E1C12">
        <w:trPr>
          <w:cantSplit/>
        </w:trPr>
        <w:tc>
          <w:tcPr>
            <w:tcW w:w="8011" w:type="dxa"/>
          </w:tcPr>
          <w:p w14:paraId="0FB6B0E1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512" w:type="dxa"/>
          </w:tcPr>
          <w:p w14:paraId="6EAC6806" w14:textId="73F4A029" w:rsidR="00C561A4" w:rsidRPr="006E22E6" w:rsidRDefault="009F330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sz w:val="22"/>
                <w:szCs w:val="22"/>
              </w:rPr>
              <w:t>реєстрація відсутня</w:t>
            </w:r>
          </w:p>
        </w:tc>
      </w:tr>
      <w:tr w:rsidR="006E22E6" w:rsidRPr="006E22E6" w14:paraId="3BE5CC21" w14:textId="77777777" w:rsidTr="000E1C12">
        <w:trPr>
          <w:cantSplit/>
          <w:trHeight w:val="448"/>
        </w:trPr>
        <w:tc>
          <w:tcPr>
            <w:tcW w:w="8011" w:type="dxa"/>
          </w:tcPr>
          <w:p w14:paraId="44918170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512" w:type="dxa"/>
          </w:tcPr>
          <w:p w14:paraId="59D42D96" w14:textId="0A3B3616" w:rsidR="00BA5AE0" w:rsidRPr="006E22E6" w:rsidRDefault="004F484D" w:rsidP="00BA5AE0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sz w:val="22"/>
                <w:szCs w:val="22"/>
              </w:rPr>
              <w:t>Майно може бути використане Орендарем за будь яким цільовим призначенням, що не суперечить вимогам чинного законодавства з питань розміщення та використання нежитлових приміщень у житлових будинках</w:t>
            </w:r>
          </w:p>
        </w:tc>
      </w:tr>
      <w:tr w:rsidR="006E22E6" w:rsidRPr="006E22E6" w14:paraId="15A7C99A" w14:textId="77777777" w:rsidTr="000E1C12">
        <w:trPr>
          <w:cantSplit/>
        </w:trPr>
        <w:tc>
          <w:tcPr>
            <w:tcW w:w="8011" w:type="dxa"/>
          </w:tcPr>
          <w:p w14:paraId="79D4D265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512" w:type="dxa"/>
          </w:tcPr>
          <w:p w14:paraId="749866AC" w14:textId="0F813B45" w:rsidR="00C561A4" w:rsidRPr="006E22E6" w:rsidRDefault="00C561A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sz w:val="22"/>
                <w:szCs w:val="22"/>
              </w:rPr>
              <w:t xml:space="preserve">договори з комунальними службами </w:t>
            </w:r>
            <w:r w:rsidR="009F3826" w:rsidRPr="006E22E6">
              <w:rPr>
                <w:rFonts w:eastAsia="Times New Roman"/>
                <w:sz w:val="22"/>
                <w:szCs w:val="22"/>
              </w:rPr>
              <w:t>щодо</w:t>
            </w:r>
            <w:r w:rsidRPr="006E22E6">
              <w:rPr>
                <w:rFonts w:eastAsia="Times New Roman"/>
                <w:sz w:val="22"/>
                <w:szCs w:val="22"/>
              </w:rPr>
              <w:t xml:space="preserve"> надання послуг з водопостачання, водовідведення, </w:t>
            </w:r>
            <w:r w:rsidR="00E21DC5" w:rsidRPr="006E22E6">
              <w:rPr>
                <w:rFonts w:eastAsia="Times New Roman"/>
                <w:sz w:val="22"/>
                <w:szCs w:val="22"/>
              </w:rPr>
              <w:t>електропостачання</w:t>
            </w:r>
            <w:r w:rsidR="00885C43" w:rsidRPr="006E22E6">
              <w:rPr>
                <w:rFonts w:eastAsia="Times New Roman"/>
                <w:sz w:val="22"/>
                <w:szCs w:val="22"/>
              </w:rPr>
              <w:t>,</w:t>
            </w:r>
            <w:r w:rsidR="002A3CC5" w:rsidRPr="006E22E6">
              <w:rPr>
                <w:rFonts w:eastAsia="Times New Roman"/>
                <w:sz w:val="22"/>
                <w:szCs w:val="22"/>
              </w:rPr>
              <w:t xml:space="preserve"> </w:t>
            </w:r>
            <w:r w:rsidR="003B0242" w:rsidRPr="006E22E6">
              <w:rPr>
                <w:rFonts w:eastAsia="Times New Roman"/>
                <w:sz w:val="22"/>
                <w:szCs w:val="22"/>
              </w:rPr>
              <w:t>теплопостачання</w:t>
            </w:r>
            <w:r w:rsidR="002A3CC5" w:rsidRPr="006E22E6">
              <w:rPr>
                <w:rFonts w:eastAsia="Times New Roman"/>
                <w:sz w:val="22"/>
                <w:szCs w:val="22"/>
              </w:rPr>
              <w:t>,</w:t>
            </w:r>
            <w:r w:rsidR="00885C43" w:rsidRPr="006E22E6">
              <w:rPr>
                <w:rFonts w:eastAsia="Times New Roman"/>
                <w:sz w:val="22"/>
                <w:szCs w:val="22"/>
              </w:rPr>
              <w:t xml:space="preserve"> </w:t>
            </w:r>
            <w:r w:rsidRPr="006E22E6">
              <w:rPr>
                <w:rFonts w:eastAsia="Times New Roman"/>
                <w:sz w:val="22"/>
                <w:szCs w:val="22"/>
              </w:rPr>
              <w:t>вивіз сміття</w:t>
            </w:r>
            <w:r w:rsidR="003B0242" w:rsidRPr="006E22E6">
              <w:rPr>
                <w:rFonts w:eastAsia="Times New Roman"/>
                <w:sz w:val="22"/>
                <w:szCs w:val="22"/>
              </w:rPr>
              <w:t>, КП «</w:t>
            </w:r>
            <w:proofErr w:type="spellStart"/>
            <w:r w:rsidR="003B0242" w:rsidRPr="006E22E6">
              <w:rPr>
                <w:rFonts w:eastAsia="Times New Roman"/>
                <w:sz w:val="22"/>
                <w:szCs w:val="22"/>
              </w:rPr>
              <w:t>Жилкомсервіс</w:t>
            </w:r>
            <w:proofErr w:type="spellEnd"/>
            <w:r w:rsidR="003B0242" w:rsidRPr="006E22E6">
              <w:rPr>
                <w:rFonts w:eastAsia="Times New Roman"/>
                <w:sz w:val="22"/>
                <w:szCs w:val="22"/>
              </w:rPr>
              <w:t>»</w:t>
            </w:r>
            <w:r w:rsidRPr="006E22E6">
              <w:rPr>
                <w:rFonts w:eastAsia="Times New Roman"/>
                <w:sz w:val="22"/>
                <w:szCs w:val="22"/>
              </w:rPr>
              <w:t xml:space="preserve"> </w:t>
            </w:r>
            <w:r w:rsidR="002A3CC5" w:rsidRPr="006E22E6">
              <w:rPr>
                <w:rFonts w:eastAsia="Times New Roman"/>
                <w:sz w:val="22"/>
                <w:szCs w:val="22"/>
              </w:rPr>
              <w:t>Орендарем</w:t>
            </w:r>
            <w:r w:rsidR="009F3826" w:rsidRPr="006E22E6">
              <w:rPr>
                <w:rFonts w:eastAsia="Times New Roman"/>
                <w:sz w:val="22"/>
                <w:szCs w:val="22"/>
              </w:rPr>
              <w:t xml:space="preserve"> </w:t>
            </w:r>
            <w:r w:rsidRPr="006E22E6">
              <w:rPr>
                <w:rFonts w:eastAsia="Times New Roman"/>
                <w:sz w:val="22"/>
                <w:szCs w:val="22"/>
              </w:rPr>
              <w:t>укладені.</w:t>
            </w:r>
          </w:p>
        </w:tc>
      </w:tr>
      <w:tr w:rsidR="006E22E6" w:rsidRPr="006E22E6" w14:paraId="73D5EEEB" w14:textId="77777777" w:rsidTr="000E1C12">
        <w:trPr>
          <w:cantSplit/>
        </w:trPr>
        <w:tc>
          <w:tcPr>
            <w:tcW w:w="8011" w:type="dxa"/>
          </w:tcPr>
          <w:p w14:paraId="60EDC8D3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512" w:type="dxa"/>
          </w:tcPr>
          <w:p w14:paraId="1D3E231E" w14:textId="77777777" w:rsidR="00C561A4" w:rsidRPr="006E22E6" w:rsidRDefault="00C561A4" w:rsidP="000E1C12">
            <w:pPr>
              <w:pStyle w:val="a5"/>
              <w:ind w:firstLine="34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sz w:val="22"/>
                <w:szCs w:val="22"/>
              </w:rPr>
              <w:t>рішень про проведення інвестиційного конкурсу або про включення об’єкта до переліку майна, що підлягає приватизації, не приймалось</w:t>
            </w:r>
          </w:p>
        </w:tc>
      </w:tr>
      <w:tr w:rsidR="006E22E6" w:rsidRPr="006E22E6" w14:paraId="05DCF98F" w14:textId="77777777" w:rsidTr="000E1C12">
        <w:trPr>
          <w:cantSplit/>
        </w:trPr>
        <w:tc>
          <w:tcPr>
            <w:tcW w:w="8011" w:type="dxa"/>
          </w:tcPr>
          <w:p w14:paraId="713B8FF9" w14:textId="6D62EFC2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  <w:r w:rsidR="004F484D" w:rsidRPr="006E22E6">
              <w:rPr>
                <w:rFonts w:ascii="Times New Roman" w:hAnsi="Times New Roman"/>
                <w:sz w:val="22"/>
                <w:szCs w:val="22"/>
              </w:rPr>
              <w:t>6</w:t>
            </w:r>
            <w:r w:rsidRPr="006E22E6">
              <w:rPr>
                <w:rFonts w:ascii="Times New Roman" w:hAnsi="Times New Roman"/>
                <w:sz w:val="22"/>
                <w:szCs w:val="22"/>
              </w:rPr>
              <w:t>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512" w:type="dxa"/>
          </w:tcPr>
          <w:p w14:paraId="150F4529" w14:textId="056281E0" w:rsidR="00C561A4" w:rsidRPr="006E22E6" w:rsidRDefault="004F484D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об'єкт оренди не є пам’яткою культурної спадщини</w:t>
            </w:r>
          </w:p>
        </w:tc>
      </w:tr>
      <w:tr w:rsidR="006E22E6" w:rsidRPr="006E22E6" w14:paraId="1F80AE41" w14:textId="77777777" w:rsidTr="000E1C12">
        <w:trPr>
          <w:cantSplit/>
        </w:trPr>
        <w:tc>
          <w:tcPr>
            <w:tcW w:w="8011" w:type="dxa"/>
          </w:tcPr>
          <w:p w14:paraId="095E9741" w14:textId="74508BFF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2.</w:t>
            </w:r>
            <w:r w:rsidR="004F484D" w:rsidRPr="006E22E6">
              <w:rPr>
                <w:rFonts w:ascii="Times New Roman" w:hAnsi="Times New Roman"/>
                <w:sz w:val="22"/>
                <w:szCs w:val="22"/>
              </w:rPr>
              <w:t>7</w:t>
            </w:r>
            <w:r w:rsidRPr="006E22E6">
              <w:rPr>
                <w:rFonts w:ascii="Times New Roman" w:hAnsi="Times New Roman"/>
                <w:sz w:val="22"/>
                <w:szCs w:val="22"/>
              </w:rPr>
              <w:t xml:space="preserve">. копія охоронного договору </w:t>
            </w:r>
          </w:p>
        </w:tc>
        <w:tc>
          <w:tcPr>
            <w:tcW w:w="7512" w:type="dxa"/>
          </w:tcPr>
          <w:p w14:paraId="0CDD43DA" w14:textId="2B6526B3" w:rsidR="00C561A4" w:rsidRPr="006E22E6" w:rsidRDefault="002A3CC5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укладення охоронного договору не передбачено</w:t>
            </w:r>
          </w:p>
        </w:tc>
      </w:tr>
      <w:tr w:rsidR="006E22E6" w:rsidRPr="006E22E6" w14:paraId="07E023E4" w14:textId="77777777" w:rsidTr="000E1C12">
        <w:trPr>
          <w:cantSplit/>
        </w:trPr>
        <w:tc>
          <w:tcPr>
            <w:tcW w:w="8011" w:type="dxa"/>
          </w:tcPr>
          <w:p w14:paraId="26A9C5F6" w14:textId="77777777" w:rsidR="00C561A4" w:rsidRPr="006E22E6" w:rsidRDefault="00C561A4" w:rsidP="000E1C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E22E6">
              <w:rPr>
                <w:rFonts w:ascii="Times New Roman" w:hAnsi="Times New Roman" w:cs="Times New Roman"/>
                <w:b/>
                <w:lang w:eastAsia="ru-RU"/>
              </w:rPr>
              <w:t>3.Умови оренди  </w:t>
            </w:r>
          </w:p>
        </w:tc>
        <w:tc>
          <w:tcPr>
            <w:tcW w:w="7512" w:type="dxa"/>
          </w:tcPr>
          <w:p w14:paraId="5A1C39BE" w14:textId="77777777" w:rsidR="00C561A4" w:rsidRPr="006E22E6" w:rsidRDefault="00C561A4" w:rsidP="000E1C12">
            <w:pPr>
              <w:pStyle w:val="a5"/>
              <w:ind w:firstLine="340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E22E6" w:rsidRPr="006E22E6" w14:paraId="2C5636C1" w14:textId="77777777" w:rsidTr="000E1C12">
        <w:trPr>
          <w:cantSplit/>
        </w:trPr>
        <w:tc>
          <w:tcPr>
            <w:tcW w:w="8011" w:type="dxa"/>
          </w:tcPr>
          <w:p w14:paraId="3CCD8A97" w14:textId="77777777" w:rsidR="00C561A4" w:rsidRPr="006E22E6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3.1. стартова орендна плата</w:t>
            </w:r>
          </w:p>
        </w:tc>
        <w:tc>
          <w:tcPr>
            <w:tcW w:w="7512" w:type="dxa"/>
          </w:tcPr>
          <w:p w14:paraId="344A9581" w14:textId="58BBE5DE" w:rsidR="00C561A4" w:rsidRPr="006E22E6" w:rsidRDefault="003B024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4</w:t>
            </w:r>
            <w:r w:rsidR="0045214D" w:rsidRPr="006E22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E22E6">
              <w:rPr>
                <w:rFonts w:ascii="Times New Roman" w:hAnsi="Times New Roman" w:cs="Times New Roman"/>
                <w:lang w:eastAsia="ru-RU"/>
              </w:rPr>
              <w:t>048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,</w:t>
            </w:r>
            <w:r w:rsidR="008E144D" w:rsidRPr="006E22E6">
              <w:rPr>
                <w:rFonts w:ascii="Times New Roman" w:hAnsi="Times New Roman" w:cs="Times New Roman"/>
                <w:lang w:eastAsia="ru-RU"/>
              </w:rPr>
              <w:t>00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 xml:space="preserve"> грн. в місяць</w:t>
            </w:r>
          </w:p>
        </w:tc>
      </w:tr>
      <w:tr w:rsidR="006E22E6" w:rsidRPr="006E22E6" w14:paraId="79391698" w14:textId="77777777" w:rsidTr="002D74D1">
        <w:trPr>
          <w:cantSplit/>
          <w:trHeight w:val="128"/>
        </w:trPr>
        <w:tc>
          <w:tcPr>
            <w:tcW w:w="8011" w:type="dxa"/>
            <w:vMerge w:val="restart"/>
          </w:tcPr>
          <w:p w14:paraId="027F4922" w14:textId="77777777" w:rsidR="002D74D1" w:rsidRPr="006E22E6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3.2. пропонований строк оренди</w:t>
            </w:r>
          </w:p>
        </w:tc>
        <w:tc>
          <w:tcPr>
            <w:tcW w:w="7512" w:type="dxa"/>
          </w:tcPr>
          <w:p w14:paraId="6825479C" w14:textId="77777777" w:rsidR="002D74D1" w:rsidRPr="006E22E6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5 років</w:t>
            </w:r>
          </w:p>
        </w:tc>
      </w:tr>
      <w:tr w:rsidR="006E22E6" w:rsidRPr="006E22E6" w14:paraId="1DFCF9B2" w14:textId="77777777" w:rsidTr="000E1C12">
        <w:trPr>
          <w:cantSplit/>
          <w:trHeight w:val="127"/>
        </w:trPr>
        <w:tc>
          <w:tcPr>
            <w:tcW w:w="8011" w:type="dxa"/>
            <w:vMerge/>
          </w:tcPr>
          <w:p w14:paraId="1E24BDC8" w14:textId="77777777" w:rsidR="002D74D1" w:rsidRPr="006E22E6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2" w:type="dxa"/>
          </w:tcPr>
          <w:p w14:paraId="02915F2D" w14:textId="5F36B4AB" w:rsidR="002D74D1" w:rsidRPr="006E22E6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З переможцем аукціону, який є чинним орендарем, термін дії договору оренди встановлено до </w:t>
            </w:r>
            <w:r w:rsidR="003B0242" w:rsidRPr="006E22E6">
              <w:rPr>
                <w:rFonts w:ascii="Times New Roman" w:hAnsi="Times New Roman" w:cs="Times New Roman"/>
                <w:lang w:eastAsia="ru-RU"/>
              </w:rPr>
              <w:t>24</w:t>
            </w:r>
            <w:r w:rsidRPr="006E22E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B6BA2" w:rsidRPr="006E22E6">
              <w:rPr>
                <w:rFonts w:ascii="Times New Roman" w:hAnsi="Times New Roman" w:cs="Times New Roman"/>
                <w:lang w:eastAsia="ru-RU"/>
              </w:rPr>
              <w:t>жовтня</w:t>
            </w:r>
            <w:r w:rsidRPr="006E22E6">
              <w:rPr>
                <w:rFonts w:ascii="Times New Roman" w:hAnsi="Times New Roman" w:cs="Times New Roman"/>
                <w:lang w:eastAsia="ru-RU"/>
              </w:rPr>
              <w:t xml:space="preserve"> 202</w:t>
            </w:r>
            <w:r w:rsidR="004F484D" w:rsidRPr="006E22E6">
              <w:rPr>
                <w:rFonts w:ascii="Times New Roman" w:hAnsi="Times New Roman" w:cs="Times New Roman"/>
                <w:lang w:eastAsia="ru-RU"/>
              </w:rPr>
              <w:t>5</w:t>
            </w:r>
            <w:r w:rsidRPr="006E22E6">
              <w:rPr>
                <w:rFonts w:ascii="Times New Roman" w:hAnsi="Times New Roman" w:cs="Times New Roman"/>
                <w:lang w:eastAsia="ru-RU"/>
              </w:rPr>
              <w:t xml:space="preserve"> року</w:t>
            </w:r>
          </w:p>
        </w:tc>
      </w:tr>
      <w:tr w:rsidR="006E22E6" w:rsidRPr="006E22E6" w14:paraId="2938712D" w14:textId="77777777" w:rsidTr="000E1C12">
        <w:trPr>
          <w:cantSplit/>
        </w:trPr>
        <w:tc>
          <w:tcPr>
            <w:tcW w:w="8011" w:type="dxa"/>
          </w:tcPr>
          <w:p w14:paraId="0D03EBEC" w14:textId="77777777" w:rsidR="00C561A4" w:rsidRPr="006E22E6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3.3. розмір авансового внеску</w:t>
            </w:r>
          </w:p>
        </w:tc>
        <w:tc>
          <w:tcPr>
            <w:tcW w:w="7512" w:type="dxa"/>
          </w:tcPr>
          <w:p w14:paraId="6A7E8770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2E6">
              <w:rPr>
                <w:rFonts w:ascii="Times New Roman" w:hAnsi="Times New Roman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353ABB83" w14:textId="62AF8562" w:rsidR="00C561A4" w:rsidRPr="006E22E6" w:rsidRDefault="00C561A4" w:rsidP="0045214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22E6">
              <w:rPr>
                <w:rFonts w:ascii="Times New Roman" w:hAnsi="Times New Roman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</w:tc>
      </w:tr>
      <w:tr w:rsidR="006E22E6" w:rsidRPr="006E22E6" w14:paraId="1BBD3450" w14:textId="77777777" w:rsidTr="000E1C12">
        <w:trPr>
          <w:cantSplit/>
        </w:trPr>
        <w:tc>
          <w:tcPr>
            <w:tcW w:w="8011" w:type="dxa"/>
          </w:tcPr>
          <w:p w14:paraId="755A83FE" w14:textId="77777777" w:rsidR="00C561A4" w:rsidRPr="006E22E6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3.4. сума забезпечувального депозиту</w:t>
            </w:r>
          </w:p>
        </w:tc>
        <w:tc>
          <w:tcPr>
            <w:tcW w:w="7512" w:type="dxa"/>
          </w:tcPr>
          <w:p w14:paraId="23840B96" w14:textId="6480E447" w:rsidR="00C561A4" w:rsidRPr="006E22E6" w:rsidRDefault="00C561A4" w:rsidP="00B4011A">
            <w:pPr>
              <w:spacing w:after="0"/>
              <w:rPr>
                <w:rFonts w:ascii="Times New Roman" w:hAnsi="Times New Roman"/>
              </w:rPr>
            </w:pPr>
            <w:r w:rsidRPr="006E22E6">
              <w:rPr>
                <w:rFonts w:ascii="Times New Roman" w:hAnsi="Times New Roman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</w:tc>
      </w:tr>
      <w:tr w:rsidR="006E22E6" w:rsidRPr="006E22E6" w14:paraId="1F9F9051" w14:textId="77777777" w:rsidTr="000E1C12">
        <w:trPr>
          <w:cantSplit/>
        </w:trPr>
        <w:tc>
          <w:tcPr>
            <w:tcW w:w="8011" w:type="dxa"/>
          </w:tcPr>
          <w:p w14:paraId="448CAB17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 w:rsidRPr="006E22E6">
              <w:rPr>
                <w:rFonts w:ascii="Times New Roman" w:hAnsi="Times New Roman"/>
                <w:sz w:val="22"/>
                <w:szCs w:val="22"/>
              </w:rPr>
              <w:t>5</w:t>
            </w:r>
            <w:r w:rsidRPr="006E22E6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512" w:type="dxa"/>
          </w:tcPr>
          <w:p w14:paraId="638C7CE0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згода не надавалась</w:t>
            </w:r>
          </w:p>
        </w:tc>
      </w:tr>
      <w:tr w:rsidR="006E22E6" w:rsidRPr="006E22E6" w14:paraId="71559836" w14:textId="77777777" w:rsidTr="000E1C12">
        <w:trPr>
          <w:cantSplit/>
        </w:trPr>
        <w:tc>
          <w:tcPr>
            <w:tcW w:w="8011" w:type="dxa"/>
          </w:tcPr>
          <w:p w14:paraId="47703F54" w14:textId="77777777" w:rsidR="00C561A4" w:rsidRPr="006E22E6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22E6">
              <w:rPr>
                <w:rFonts w:ascii="Times New Roman" w:hAnsi="Times New Roman"/>
                <w:b/>
                <w:sz w:val="22"/>
                <w:szCs w:val="22"/>
              </w:rPr>
              <w:t>4. Інша додаткова інформація, визначена орендодавцем</w:t>
            </w:r>
          </w:p>
          <w:p w14:paraId="383A536E" w14:textId="77777777" w:rsidR="00C561A4" w:rsidRPr="006E22E6" w:rsidRDefault="00C561A4" w:rsidP="000E1C12">
            <w:pPr>
              <w:pStyle w:val="a3"/>
              <w:spacing w:after="0" w:line="240" w:lineRule="auto"/>
              <w:ind w:left="0" w:firstLine="532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512" w:type="dxa"/>
          </w:tcPr>
          <w:p w14:paraId="309F7B9A" w14:textId="13490983" w:rsidR="00C561A4" w:rsidRPr="006E22E6" w:rsidRDefault="006E22E6" w:rsidP="000E1C12">
            <w:pPr>
              <w:pStyle w:val="a5"/>
              <w:ind w:firstLine="0"/>
              <w:rPr>
                <w:bCs/>
                <w:sz w:val="22"/>
                <w:szCs w:val="22"/>
              </w:rPr>
            </w:pPr>
            <w:r w:rsidRPr="006E22E6">
              <w:rPr>
                <w:sz w:val="22"/>
                <w:szCs w:val="22"/>
              </w:rPr>
              <w:t>н</w:t>
            </w:r>
            <w:r w:rsidR="00C561A4" w:rsidRPr="006E22E6">
              <w:rPr>
                <w:sz w:val="22"/>
                <w:szCs w:val="22"/>
              </w:rPr>
              <w:t>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</w:t>
            </w:r>
            <w:r w:rsidR="003B0242" w:rsidRPr="006E22E6">
              <w:rPr>
                <w:sz w:val="22"/>
                <w:szCs w:val="22"/>
              </w:rPr>
              <w:t xml:space="preserve">. </w:t>
            </w:r>
            <w:r w:rsidR="007C6743" w:rsidRPr="006E22E6">
              <w:rPr>
                <w:sz w:val="22"/>
                <w:szCs w:val="22"/>
              </w:rPr>
              <w:t xml:space="preserve">Переможець аукціону </w:t>
            </w:r>
            <w:r w:rsidR="004F484D" w:rsidRPr="006E22E6">
              <w:rPr>
                <w:sz w:val="22"/>
                <w:szCs w:val="22"/>
              </w:rPr>
              <w:t xml:space="preserve">протягом 2021 року </w:t>
            </w:r>
            <w:r w:rsidR="007C6743" w:rsidRPr="006E22E6">
              <w:rPr>
                <w:sz w:val="22"/>
                <w:szCs w:val="22"/>
              </w:rPr>
              <w:t xml:space="preserve">повинен здійснити заходи щодо виготовлення технічного паспорту на орендовані нежитлові приміщення </w:t>
            </w:r>
            <w:r w:rsidR="00E1452E" w:rsidRPr="006E22E6">
              <w:rPr>
                <w:sz w:val="22"/>
                <w:szCs w:val="22"/>
              </w:rPr>
              <w:t xml:space="preserve">та </w:t>
            </w:r>
            <w:r w:rsidR="007C6743" w:rsidRPr="006E22E6">
              <w:rPr>
                <w:sz w:val="22"/>
                <w:szCs w:val="22"/>
              </w:rPr>
              <w:t>виготовлення</w:t>
            </w:r>
            <w:r w:rsidR="00E1452E" w:rsidRPr="006E22E6">
              <w:rPr>
                <w:sz w:val="22"/>
                <w:szCs w:val="22"/>
              </w:rPr>
              <w:t xml:space="preserve"> виснов</w:t>
            </w:r>
            <w:r w:rsidR="007C6743" w:rsidRPr="006E22E6">
              <w:rPr>
                <w:sz w:val="22"/>
                <w:szCs w:val="22"/>
              </w:rPr>
              <w:t>ку</w:t>
            </w:r>
            <w:r w:rsidR="00E1452E" w:rsidRPr="006E22E6">
              <w:rPr>
                <w:sz w:val="22"/>
                <w:szCs w:val="22"/>
              </w:rPr>
              <w:t xml:space="preserve"> </w:t>
            </w:r>
            <w:r w:rsidRPr="006E22E6">
              <w:rPr>
                <w:sz w:val="22"/>
                <w:szCs w:val="22"/>
              </w:rPr>
              <w:t xml:space="preserve">Національного наукового центру «Інститут судових експертиз ім. </w:t>
            </w:r>
            <w:proofErr w:type="spellStart"/>
            <w:r w:rsidRPr="006E22E6">
              <w:rPr>
                <w:sz w:val="22"/>
                <w:szCs w:val="22"/>
              </w:rPr>
              <w:t>Засл</w:t>
            </w:r>
            <w:proofErr w:type="spellEnd"/>
            <w:r w:rsidRPr="006E22E6">
              <w:rPr>
                <w:sz w:val="22"/>
                <w:szCs w:val="22"/>
              </w:rPr>
              <w:t xml:space="preserve">. проф. М.С. </w:t>
            </w:r>
            <w:proofErr w:type="spellStart"/>
            <w:r w:rsidRPr="006E22E6">
              <w:rPr>
                <w:sz w:val="22"/>
                <w:szCs w:val="22"/>
              </w:rPr>
              <w:t>Бокаріуса</w:t>
            </w:r>
            <w:proofErr w:type="spellEnd"/>
            <w:r w:rsidRPr="006E22E6">
              <w:rPr>
                <w:sz w:val="22"/>
                <w:szCs w:val="22"/>
              </w:rPr>
              <w:t>»</w:t>
            </w:r>
            <w:bookmarkStart w:id="7" w:name="_Hlk66868669"/>
            <w:r w:rsidRPr="006E22E6">
              <w:rPr>
                <w:sz w:val="22"/>
                <w:szCs w:val="22"/>
              </w:rPr>
              <w:t xml:space="preserve"> </w:t>
            </w:r>
            <w:r w:rsidR="00837566" w:rsidRPr="006E22E6">
              <w:rPr>
                <w:sz w:val="22"/>
                <w:szCs w:val="22"/>
              </w:rPr>
              <w:t>стосовно встановлення належності або ні нежитлових підвальних приміщень № 1-:-4 загальною площею 52,6кв.м до допоміжних, які необхідні для обслуговування житлового будинку за адресою: м. Харків, вулиця Михайлика,2, літ. «А-9»</w:t>
            </w:r>
            <w:r w:rsidR="00E1452E" w:rsidRPr="006E22E6">
              <w:rPr>
                <w:sz w:val="22"/>
                <w:szCs w:val="22"/>
              </w:rPr>
              <w:t>.</w:t>
            </w:r>
            <w:bookmarkEnd w:id="7"/>
          </w:p>
        </w:tc>
      </w:tr>
      <w:tr w:rsidR="006E22E6" w:rsidRPr="006E22E6" w14:paraId="4BD5171A" w14:textId="77777777" w:rsidTr="000E1C12">
        <w:trPr>
          <w:cantSplit/>
        </w:trPr>
        <w:tc>
          <w:tcPr>
            <w:tcW w:w="8011" w:type="dxa"/>
          </w:tcPr>
          <w:p w14:paraId="7BBD4494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b/>
                <w:sz w:val="22"/>
                <w:szCs w:val="22"/>
              </w:rPr>
              <w:t xml:space="preserve">5. </w:t>
            </w:r>
            <w:r w:rsidR="00334192" w:rsidRPr="006E22E6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6E22E6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512" w:type="dxa"/>
          </w:tcPr>
          <w:p w14:paraId="26FCD070" w14:textId="77777777" w:rsidR="00C561A4" w:rsidRPr="006E22E6" w:rsidRDefault="0033419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нотаріально посвідчен</w:t>
            </w:r>
            <w:r w:rsidRPr="006E22E6">
              <w:rPr>
                <w:rFonts w:ascii="Times New Roman" w:hAnsi="Times New Roman" w:cs="Times New Roman"/>
                <w:lang w:eastAsia="ru-RU"/>
              </w:rPr>
              <w:t>ою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 xml:space="preserve"> заяв</w:t>
            </w:r>
            <w:r w:rsidRPr="006E22E6">
              <w:rPr>
                <w:rFonts w:ascii="Times New Roman" w:hAnsi="Times New Roman" w:cs="Times New Roman"/>
                <w:lang w:eastAsia="ru-RU"/>
              </w:rPr>
              <w:t>ою</w:t>
            </w:r>
          </w:p>
        </w:tc>
      </w:tr>
      <w:tr w:rsidR="006E22E6" w:rsidRPr="006E22E6" w14:paraId="2060B77B" w14:textId="77777777" w:rsidTr="000E1C12">
        <w:trPr>
          <w:cantSplit/>
        </w:trPr>
        <w:tc>
          <w:tcPr>
            <w:tcW w:w="8011" w:type="dxa"/>
          </w:tcPr>
          <w:p w14:paraId="48E4260C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E22E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Згода на укладення майбутнім орендарем договору суборенди</w:t>
            </w:r>
            <w:r w:rsidRPr="006E22E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22E6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512" w:type="dxa"/>
          </w:tcPr>
          <w:p w14:paraId="29EF3477" w14:textId="77777777" w:rsidR="00BA3971" w:rsidRPr="006E22E6" w:rsidRDefault="00BA3971" w:rsidP="00BA3971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6E22E6">
              <w:rPr>
                <w:sz w:val="22"/>
                <w:szCs w:val="22"/>
              </w:rPr>
              <w:t>Орендар, який отримав майно в оренду на такому аукціоні, вважається таким, що отримав письмову згоду орендодавця на суборенду за умови,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будинках. Такий орендар протягом трьох робочих днів з моменту укладення договору суборенди зобов’язаний подати орендодавцю один примірник договору суборенди. До примірника договору додаються:</w:t>
            </w:r>
          </w:p>
          <w:p w14:paraId="1322F703" w14:textId="77777777" w:rsidR="00C561A4" w:rsidRPr="006E22E6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2"/>
            <w:bookmarkEnd w:id="8"/>
            <w:r w:rsidRPr="006E22E6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11157FBB" w:rsidR="00C561A4" w:rsidRPr="006E22E6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3"/>
            <w:bookmarkEnd w:id="9"/>
            <w:r w:rsidRPr="006E22E6">
              <w:rPr>
                <w:sz w:val="22"/>
                <w:szCs w:val="22"/>
              </w:rPr>
              <w:t>2) для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6E22E6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4"/>
            <w:bookmarkEnd w:id="10"/>
            <w:r w:rsidRPr="006E22E6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6E22E6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5"/>
            <w:bookmarkEnd w:id="11"/>
            <w:r w:rsidRPr="006E22E6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6E22E6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6"/>
            <w:bookmarkEnd w:id="12"/>
            <w:r w:rsidRPr="006E22E6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Pr="006E22E6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3" w:name="n257"/>
            <w:bookmarkEnd w:id="13"/>
            <w:r w:rsidRPr="006E22E6">
              <w:rPr>
                <w:sz w:val="22"/>
                <w:szCs w:val="22"/>
              </w:rPr>
              <w:t xml:space="preserve">інформація про кінцевого </w:t>
            </w:r>
            <w:proofErr w:type="spellStart"/>
            <w:r w:rsidRPr="006E22E6">
              <w:rPr>
                <w:sz w:val="22"/>
                <w:szCs w:val="22"/>
              </w:rPr>
              <w:t>бенефіціарного</w:t>
            </w:r>
            <w:proofErr w:type="spellEnd"/>
            <w:r w:rsidRPr="006E22E6">
              <w:rPr>
                <w:sz w:val="22"/>
                <w:szCs w:val="22"/>
              </w:rPr>
              <w:t xml:space="preserve"> власника. Якщо особа не має кінцевого </w:t>
            </w:r>
            <w:proofErr w:type="spellStart"/>
            <w:r w:rsidRPr="006E22E6">
              <w:rPr>
                <w:sz w:val="22"/>
                <w:szCs w:val="22"/>
              </w:rPr>
              <w:t>бенефіціарного</w:t>
            </w:r>
            <w:proofErr w:type="spellEnd"/>
            <w:r w:rsidRPr="006E22E6">
              <w:rPr>
                <w:sz w:val="22"/>
                <w:szCs w:val="22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6E22E6">
              <w:rPr>
                <w:sz w:val="22"/>
                <w:szCs w:val="22"/>
              </w:rPr>
              <w:t>бенефіціарного</w:t>
            </w:r>
            <w:proofErr w:type="spellEnd"/>
            <w:r w:rsidRPr="006E22E6">
              <w:rPr>
                <w:sz w:val="22"/>
                <w:szCs w:val="22"/>
              </w:rPr>
              <w:t xml:space="preserve"> власника і причина його відсутності</w:t>
            </w:r>
            <w:bookmarkStart w:id="14" w:name="n258"/>
            <w:bookmarkEnd w:id="14"/>
            <w:r w:rsidRPr="006E22E6">
              <w:rPr>
                <w:sz w:val="22"/>
                <w:szCs w:val="22"/>
              </w:rPr>
              <w:t>.</w:t>
            </w:r>
          </w:p>
          <w:p w14:paraId="41F64924" w14:textId="77777777" w:rsidR="00334192" w:rsidRPr="006E22E6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6E22E6">
              <w:rPr>
                <w:sz w:val="22"/>
                <w:szCs w:val="22"/>
              </w:rPr>
              <w:t xml:space="preserve">Суборендар </w:t>
            </w:r>
            <w:r w:rsidRPr="006E22E6">
              <w:rPr>
                <w:sz w:val="22"/>
                <w:szCs w:val="22"/>
                <w:lang w:eastAsia="ru-RU"/>
              </w:rPr>
              <w:t>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нотаріально посвідченою заявою суборендаря</w:t>
            </w:r>
          </w:p>
        </w:tc>
      </w:tr>
      <w:tr w:rsidR="006E22E6" w:rsidRPr="006E22E6" w14:paraId="04B0C4CE" w14:textId="77777777" w:rsidTr="000E1C12">
        <w:trPr>
          <w:cantSplit/>
        </w:trPr>
        <w:tc>
          <w:tcPr>
            <w:tcW w:w="8011" w:type="dxa"/>
          </w:tcPr>
          <w:p w14:paraId="396BB583" w14:textId="77777777" w:rsidR="00C561A4" w:rsidRPr="006E22E6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b/>
                <w:sz w:val="22"/>
                <w:szCs w:val="22"/>
              </w:rPr>
              <w:t>7. Контактні дані</w:t>
            </w:r>
            <w:r w:rsidRPr="006E22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F3588" w14:textId="77777777" w:rsidR="00C561A4" w:rsidRPr="006E22E6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512" w:type="dxa"/>
          </w:tcPr>
          <w:p w14:paraId="6C55A587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197D78CA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Контактні дані: </w:t>
            </w:r>
            <w:r w:rsidR="0019090C" w:rsidRPr="006E22E6">
              <w:rPr>
                <w:rFonts w:ascii="Times New Roman" w:hAnsi="Times New Roman" w:cs="Times New Roman"/>
                <w:lang w:eastAsia="ru-RU"/>
              </w:rPr>
              <w:t>Крамаренко Юрій Миколайович</w:t>
            </w:r>
            <w:r w:rsidRPr="006E22E6">
              <w:rPr>
                <w:rFonts w:ascii="Times New Roman" w:hAnsi="Times New Roman" w:cs="Times New Roman"/>
                <w:lang w:eastAsia="ru-RU"/>
              </w:rPr>
              <w:t>, контактний телефон +38(057) 725 25 41 адреса електронної пошти ukmp.kharkiv16</w:t>
            </w:r>
            <w:r w:rsidR="0019090C" w:rsidRPr="006E22E6">
              <w:rPr>
                <w:rFonts w:ascii="Times New Roman" w:hAnsi="Times New Roman" w:cs="Times New Roman"/>
                <w:lang w:eastAsia="ru-RU"/>
              </w:rPr>
              <w:t>2</w:t>
            </w:r>
            <w:r w:rsidRPr="006E22E6">
              <w:rPr>
                <w:rFonts w:ascii="Times New Roman" w:hAnsi="Times New Roman" w:cs="Times New Roman"/>
                <w:lang w:eastAsia="ru-RU"/>
              </w:rPr>
              <w:t>@gmail.com</w:t>
            </w:r>
          </w:p>
          <w:p w14:paraId="494246E9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з 8-00 до 17-00 у робочі дні (крім п’ятниці до 15-45) </w:t>
            </w:r>
          </w:p>
          <w:p w14:paraId="714DC6BC" w14:textId="77777777" w:rsidR="00F643AF" w:rsidRPr="006E22E6" w:rsidRDefault="00C561A4" w:rsidP="007C67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E22E6">
              <w:rPr>
                <w:rFonts w:ascii="Times New Roman" w:hAnsi="Times New Roman" w:cs="Times New Roman"/>
                <w:lang w:eastAsia="ru-RU"/>
              </w:rPr>
              <w:t>коронавірусом</w:t>
            </w:r>
            <w:proofErr w:type="spellEnd"/>
            <w:r w:rsidRPr="006E22E6">
              <w:rPr>
                <w:rFonts w:ascii="Times New Roman" w:hAnsi="Times New Roman" w:cs="Times New Roman"/>
                <w:lang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орендодавцем годину огляду за телефоном+38(057)725 25 41 у робочі дні з 08-00 до 17-00 (крім п’ятниці до 15-45).</w:t>
            </w:r>
          </w:p>
          <w:p w14:paraId="6513666D" w14:textId="77777777" w:rsidR="004F484D" w:rsidRPr="006E22E6" w:rsidRDefault="004F484D" w:rsidP="007C67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2217C36C" w14:textId="4BADC961" w:rsidR="004F484D" w:rsidRPr="006E22E6" w:rsidRDefault="004F484D" w:rsidP="007C674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E22E6" w:rsidRPr="006E22E6" w14:paraId="7FD76A29" w14:textId="77777777" w:rsidTr="000E1C12">
        <w:trPr>
          <w:cantSplit/>
        </w:trPr>
        <w:tc>
          <w:tcPr>
            <w:tcW w:w="8011" w:type="dxa"/>
          </w:tcPr>
          <w:p w14:paraId="0C7AB9A7" w14:textId="77777777" w:rsidR="00C561A4" w:rsidRPr="006E22E6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22E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8. Інформація про аукціон та його умови</w:t>
            </w:r>
          </w:p>
        </w:tc>
        <w:tc>
          <w:tcPr>
            <w:tcW w:w="7512" w:type="dxa"/>
          </w:tcPr>
          <w:p w14:paraId="5B30F297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E22E6" w:rsidRPr="006E22E6" w14:paraId="638901BF" w14:textId="77777777" w:rsidTr="000E1C12">
        <w:trPr>
          <w:cantSplit/>
        </w:trPr>
        <w:tc>
          <w:tcPr>
            <w:tcW w:w="8011" w:type="dxa"/>
          </w:tcPr>
          <w:p w14:paraId="0610A8E6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512" w:type="dxa"/>
          </w:tcPr>
          <w:p w14:paraId="482C38BA" w14:textId="1EC19002" w:rsidR="00C561A4" w:rsidRPr="006E22E6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  <w:r w:rsidRPr="006E22E6">
              <w:rPr>
                <w:rFonts w:eastAsia="Times New Roman"/>
                <w:b/>
                <w:bCs/>
                <w:sz w:val="22"/>
                <w:szCs w:val="22"/>
              </w:rPr>
              <w:t>Аукціон</w:t>
            </w:r>
            <w:r w:rsidRPr="006E22E6">
              <w:rPr>
                <w:rFonts w:eastAsia="Times New Roman"/>
                <w:sz w:val="22"/>
                <w:szCs w:val="22"/>
              </w:rPr>
              <w:t xml:space="preserve">: </w:t>
            </w:r>
            <w:r w:rsidR="006E22E6" w:rsidRPr="006E22E6">
              <w:rPr>
                <w:rFonts w:eastAsia="Times New Roman"/>
                <w:b/>
                <w:bCs/>
                <w:sz w:val="22"/>
                <w:szCs w:val="22"/>
              </w:rPr>
              <w:t>26</w:t>
            </w:r>
            <w:r w:rsidR="00334192" w:rsidRPr="006E22E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6E22E6" w:rsidRPr="006E22E6">
              <w:rPr>
                <w:rFonts w:eastAsia="Times New Roman"/>
                <w:b/>
                <w:bCs/>
                <w:sz w:val="22"/>
                <w:szCs w:val="22"/>
              </w:rPr>
              <w:t>квітня</w:t>
            </w:r>
            <w:r w:rsidR="00334192" w:rsidRPr="006E22E6">
              <w:rPr>
                <w:rFonts w:eastAsia="Times New Roman"/>
                <w:sz w:val="22"/>
                <w:szCs w:val="22"/>
              </w:rPr>
              <w:t xml:space="preserve"> </w:t>
            </w:r>
            <w:r w:rsidRPr="006E22E6">
              <w:rPr>
                <w:rFonts w:eastAsia="Times New Roman"/>
                <w:b/>
                <w:sz w:val="22"/>
                <w:szCs w:val="22"/>
              </w:rPr>
              <w:t>20</w:t>
            </w:r>
            <w:r w:rsidRPr="006E22E6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334192" w:rsidRPr="006E22E6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6E22E6"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 w:rsidR="006E22E6" w:rsidRPr="006E22E6">
              <w:rPr>
                <w:rFonts w:eastAsia="Times New Roman"/>
                <w:b/>
                <w:bCs/>
                <w:sz w:val="22"/>
                <w:szCs w:val="22"/>
              </w:rPr>
              <w:t>двадцять шостого квітня</w:t>
            </w:r>
            <w:r w:rsidRPr="006E22E6">
              <w:rPr>
                <w:rFonts w:eastAsia="Times New Roman"/>
                <w:b/>
                <w:bCs/>
                <w:sz w:val="22"/>
                <w:szCs w:val="22"/>
              </w:rPr>
              <w:t xml:space="preserve"> дві тисячі двадцят</w:t>
            </w:r>
            <w:r w:rsidR="00334192" w:rsidRPr="006E22E6">
              <w:rPr>
                <w:rFonts w:eastAsia="Times New Roman"/>
                <w:b/>
                <w:bCs/>
                <w:sz w:val="22"/>
                <w:szCs w:val="22"/>
              </w:rPr>
              <w:t>ь першого</w:t>
            </w:r>
            <w:r w:rsidRPr="006E22E6">
              <w:rPr>
                <w:rFonts w:eastAsia="Times New Roman"/>
                <w:b/>
                <w:bCs/>
                <w:sz w:val="22"/>
                <w:szCs w:val="22"/>
              </w:rPr>
              <w:t xml:space="preserve"> року), </w:t>
            </w:r>
            <w:r w:rsidRPr="006E22E6">
              <w:rPr>
                <w:rFonts w:eastAsia="Times New Roman"/>
                <w:sz w:val="22"/>
                <w:szCs w:val="22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6E22E6" w:rsidRPr="006E22E6" w14:paraId="71B22045" w14:textId="77777777" w:rsidTr="000E1C12">
        <w:trPr>
          <w:cantSplit/>
        </w:trPr>
        <w:tc>
          <w:tcPr>
            <w:tcW w:w="8011" w:type="dxa"/>
          </w:tcPr>
          <w:p w14:paraId="1A14F5D9" w14:textId="77777777" w:rsidR="00C561A4" w:rsidRPr="006E22E6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8.2. кінцевий строк подання заяви на участь в аукціоні</w:t>
            </w:r>
          </w:p>
        </w:tc>
        <w:tc>
          <w:tcPr>
            <w:tcW w:w="7512" w:type="dxa"/>
          </w:tcPr>
          <w:p w14:paraId="31284A2B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b/>
                <w:bCs/>
                <w:lang w:eastAsia="ru-RU"/>
              </w:rPr>
              <w:t>Кінцевий строк подання заяви на участь в електронному аукціоні</w:t>
            </w:r>
            <w:r w:rsidRPr="006E22E6">
              <w:rPr>
                <w:rFonts w:ascii="Times New Roman" w:hAnsi="Times New Roman" w:cs="Times New Roman"/>
                <w:lang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6E22E6" w:rsidRPr="006E22E6" w14:paraId="7DFCEAF5" w14:textId="77777777" w:rsidTr="000E1C12">
        <w:trPr>
          <w:cantSplit/>
        </w:trPr>
        <w:tc>
          <w:tcPr>
            <w:tcW w:w="8011" w:type="dxa"/>
          </w:tcPr>
          <w:p w14:paraId="598CF04D" w14:textId="77777777" w:rsidR="00C561A4" w:rsidRPr="006E22E6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512" w:type="dxa"/>
          </w:tcPr>
          <w:p w14:paraId="0EEB8FEB" w14:textId="3725561D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1% стартової орендної плати – </w:t>
            </w:r>
            <w:r w:rsidR="00E1452E" w:rsidRPr="006E22E6">
              <w:rPr>
                <w:rFonts w:ascii="Times New Roman" w:hAnsi="Times New Roman" w:cs="Times New Roman"/>
                <w:lang w:eastAsia="ru-RU"/>
              </w:rPr>
              <w:t>40</w:t>
            </w:r>
            <w:r w:rsidR="008E144D" w:rsidRPr="006E22E6">
              <w:rPr>
                <w:rFonts w:ascii="Times New Roman" w:hAnsi="Times New Roman" w:cs="Times New Roman"/>
                <w:lang w:eastAsia="ru-RU"/>
              </w:rPr>
              <w:t>,</w:t>
            </w:r>
            <w:r w:rsidR="00E1452E" w:rsidRPr="006E22E6">
              <w:rPr>
                <w:rFonts w:ascii="Times New Roman" w:hAnsi="Times New Roman" w:cs="Times New Roman"/>
                <w:lang w:eastAsia="ru-RU"/>
              </w:rPr>
              <w:t>48</w:t>
            </w:r>
            <w:r w:rsidRPr="006E22E6">
              <w:rPr>
                <w:rFonts w:ascii="Times New Roman" w:hAnsi="Times New Roman" w:cs="Times New Roman"/>
                <w:lang w:eastAsia="ru-RU"/>
              </w:rPr>
              <w:t xml:space="preserve"> грн.</w:t>
            </w:r>
          </w:p>
        </w:tc>
      </w:tr>
      <w:tr w:rsidR="006E22E6" w:rsidRPr="006E22E6" w14:paraId="2077CC45" w14:textId="77777777" w:rsidTr="000E1C12">
        <w:trPr>
          <w:cantSplit/>
        </w:trPr>
        <w:tc>
          <w:tcPr>
            <w:tcW w:w="8011" w:type="dxa"/>
          </w:tcPr>
          <w:p w14:paraId="6ACEA8DF" w14:textId="77777777" w:rsidR="00C561A4" w:rsidRPr="006E22E6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512" w:type="dxa"/>
          </w:tcPr>
          <w:p w14:paraId="15315432" w14:textId="37778763" w:rsidR="00C561A4" w:rsidRPr="006E22E6" w:rsidRDefault="00A2622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2 024,00 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</w:tr>
      <w:tr w:rsidR="006E22E6" w:rsidRPr="006E22E6" w14:paraId="489E850A" w14:textId="77777777" w:rsidTr="000E1C12">
        <w:trPr>
          <w:cantSplit/>
        </w:trPr>
        <w:tc>
          <w:tcPr>
            <w:tcW w:w="8011" w:type="dxa"/>
          </w:tcPr>
          <w:p w14:paraId="2EE43F32" w14:textId="77777777" w:rsidR="00C561A4" w:rsidRPr="006E22E6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8.5. розмір гарантійного внеску (для інших учасників аукціону, грн.)</w:t>
            </w:r>
          </w:p>
        </w:tc>
        <w:tc>
          <w:tcPr>
            <w:tcW w:w="7512" w:type="dxa"/>
          </w:tcPr>
          <w:p w14:paraId="055929A0" w14:textId="7F91A419" w:rsidR="00C561A4" w:rsidRPr="006E22E6" w:rsidRDefault="00A2622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16 192,00 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</w:tr>
      <w:tr w:rsidR="006E22E6" w:rsidRPr="006E22E6" w14:paraId="5BC7B3E8" w14:textId="77777777" w:rsidTr="000E1C12">
        <w:trPr>
          <w:cantSplit/>
        </w:trPr>
        <w:tc>
          <w:tcPr>
            <w:tcW w:w="8011" w:type="dxa"/>
          </w:tcPr>
          <w:p w14:paraId="0462A707" w14:textId="77777777" w:rsidR="00C561A4" w:rsidRPr="006E22E6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512" w:type="dxa"/>
          </w:tcPr>
          <w:p w14:paraId="57AE7B94" w14:textId="115149B2" w:rsidR="00C561A4" w:rsidRPr="006E22E6" w:rsidRDefault="00A2622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E22E6">
              <w:rPr>
                <w:rFonts w:ascii="Times New Roman" w:hAnsi="Times New Roman" w:cs="Times New Roman"/>
                <w:lang w:eastAsia="ru-RU"/>
              </w:rPr>
              <w:t xml:space="preserve">600,00 </w:t>
            </w:r>
            <w:r w:rsidR="00C561A4" w:rsidRPr="006E22E6">
              <w:rPr>
                <w:rFonts w:ascii="Times New Roman" w:hAnsi="Times New Roman" w:cs="Times New Roman"/>
                <w:lang w:eastAsia="ru-RU"/>
              </w:rPr>
              <w:t>грн.</w:t>
            </w:r>
          </w:p>
        </w:tc>
      </w:tr>
      <w:tr w:rsidR="006E22E6" w:rsidRPr="006E22E6" w14:paraId="76C29D53" w14:textId="77777777" w:rsidTr="000E1C12">
        <w:trPr>
          <w:cantSplit/>
        </w:trPr>
        <w:tc>
          <w:tcPr>
            <w:tcW w:w="8011" w:type="dxa"/>
          </w:tcPr>
          <w:p w14:paraId="174DAEA4" w14:textId="77777777" w:rsidR="00C561A4" w:rsidRPr="006E22E6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22E6">
              <w:rPr>
                <w:rFonts w:ascii="Times New Roman" w:hAnsi="Times New Roman"/>
                <w:b/>
                <w:sz w:val="22"/>
                <w:szCs w:val="22"/>
              </w:rPr>
              <w:t>9. Додаткова інформація:</w:t>
            </w:r>
          </w:p>
        </w:tc>
        <w:tc>
          <w:tcPr>
            <w:tcW w:w="7512" w:type="dxa"/>
          </w:tcPr>
          <w:p w14:paraId="1A317783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E22E6" w:rsidRPr="006E22E6" w14:paraId="7A50A7B0" w14:textId="77777777" w:rsidTr="000E1C12">
        <w:trPr>
          <w:cantSplit/>
        </w:trPr>
        <w:tc>
          <w:tcPr>
            <w:tcW w:w="8011" w:type="dxa"/>
          </w:tcPr>
          <w:p w14:paraId="231A76F6" w14:textId="77777777" w:rsidR="00C561A4" w:rsidRPr="006E22E6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E22E6">
              <w:rPr>
                <w:rFonts w:ascii="Times New Roman" w:hAnsi="Times New Roman"/>
                <w:bCs/>
                <w:sz w:val="22"/>
                <w:szCs w:val="22"/>
              </w:rPr>
              <w:t>9.1. У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512" w:type="dxa"/>
          </w:tcPr>
          <w:p w14:paraId="49526DF2" w14:textId="77777777" w:rsidR="00C561A4" w:rsidRPr="006E22E6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E22E6">
              <w:rPr>
                <w:rFonts w:ascii="Times New Roman" w:hAnsi="Times New Roman" w:cs="Times New Roman"/>
                <w:bCs/>
                <w:lang w:eastAsia="ru-RU"/>
              </w:rPr>
              <w:t xml:space="preserve">Чинний орендар втрачає своє переважне право </w:t>
            </w:r>
            <w:r w:rsidR="00AC1E76" w:rsidRPr="006E22E6">
              <w:rPr>
                <w:rFonts w:ascii="Times New Roman" w:hAnsi="Times New Roman" w:cs="Times New Roman"/>
                <w:bCs/>
                <w:lang w:eastAsia="ru-RU"/>
              </w:rPr>
              <w:t>на продовження договору.</w:t>
            </w:r>
            <w:r w:rsidRPr="006E22E6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AC1E76" w:rsidRPr="006E22E6">
              <w:rPr>
                <w:rFonts w:ascii="Times New Roman" w:hAnsi="Times New Roman" w:cs="Times New Roman"/>
                <w:bCs/>
                <w:lang w:eastAsia="ru-RU"/>
              </w:rPr>
              <w:t>Д</w:t>
            </w:r>
            <w:r w:rsidRPr="006E22E6">
              <w:rPr>
                <w:rFonts w:ascii="Times New Roman" w:hAnsi="Times New Roman" w:cs="Times New Roman"/>
                <w:bCs/>
                <w:lang w:eastAsia="ru-RU"/>
              </w:rPr>
              <w:t>оговір оренди з таким орендарем припиняється з дати закінчення строку договору</w:t>
            </w:r>
            <w:r w:rsidR="00AC1E76" w:rsidRPr="006E22E6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</w:tr>
      <w:tr w:rsidR="006E22E6" w:rsidRPr="006E22E6" w14:paraId="5EB27C7C" w14:textId="77777777" w:rsidTr="000E1C12">
        <w:trPr>
          <w:cantSplit/>
        </w:trPr>
        <w:tc>
          <w:tcPr>
            <w:tcW w:w="8011" w:type="dxa"/>
          </w:tcPr>
          <w:p w14:paraId="033E15C9" w14:textId="77777777" w:rsidR="00C561A4" w:rsidRPr="006E22E6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</w:t>
            </w:r>
            <w:proofErr w:type="spellStart"/>
            <w:r w:rsidRPr="006E22E6">
              <w:rPr>
                <w:rFonts w:ascii="Times New Roman" w:hAnsi="Times New Roman"/>
                <w:sz w:val="22"/>
                <w:szCs w:val="22"/>
              </w:rPr>
              <w:t>сайта</w:t>
            </w:r>
            <w:proofErr w:type="spellEnd"/>
            <w:r w:rsidRPr="006E22E6">
              <w:rPr>
                <w:rFonts w:ascii="Times New Roman" w:hAnsi="Times New Roman"/>
                <w:sz w:val="22"/>
                <w:szCs w:val="22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512" w:type="dxa"/>
          </w:tcPr>
          <w:p w14:paraId="7FD66375" w14:textId="77777777" w:rsidR="00C561A4" w:rsidRPr="006E22E6" w:rsidRDefault="00FF58DF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hyperlink r:id="rId8" w:history="1">
              <w:r w:rsidR="00C561A4" w:rsidRPr="006E22E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E22E6" w:rsidRPr="006E22E6" w14:paraId="7E905956" w14:textId="77777777" w:rsidTr="000E1C12">
        <w:trPr>
          <w:cantSplit/>
        </w:trPr>
        <w:tc>
          <w:tcPr>
            <w:tcW w:w="8011" w:type="dxa"/>
          </w:tcPr>
          <w:p w14:paraId="005E9112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512" w:type="dxa"/>
          </w:tcPr>
          <w:p w14:paraId="46F001DB" w14:textId="77777777" w:rsidR="00AE3DA2" w:rsidRPr="006E22E6" w:rsidRDefault="00C561A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</w:pPr>
            <w:r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>Для перерахування</w:t>
            </w:r>
            <w:r w:rsidR="00AE3DA2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>:</w:t>
            </w:r>
          </w:p>
          <w:p w14:paraId="00840FBF" w14:textId="77777777" w:rsidR="00C561A4" w:rsidRPr="006E22E6" w:rsidRDefault="00AE3DA2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</w:pPr>
            <w:r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>-</w:t>
            </w:r>
            <w:r w:rsidR="00C561A4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 xml:space="preserve"> </w:t>
            </w:r>
            <w:r w:rsidR="00AC1E76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 xml:space="preserve">оператором </w:t>
            </w:r>
            <w:r w:rsidR="00C561A4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>електронн</w:t>
            </w:r>
            <w:r w:rsidR="00AC1E76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>ого</w:t>
            </w:r>
            <w:r w:rsidR="00C561A4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 xml:space="preserve"> майданчик</w:t>
            </w:r>
            <w:r w:rsidR="00AC1E76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 xml:space="preserve">а </w:t>
            </w:r>
            <w:r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 xml:space="preserve">гарантійних та </w:t>
            </w:r>
            <w:r w:rsidR="00C561A4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>реєстраційн</w:t>
            </w:r>
            <w:r w:rsidR="00D43D45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>их</w:t>
            </w:r>
            <w:r w:rsidR="00C561A4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 xml:space="preserve"> внесків</w:t>
            </w:r>
            <w:r w:rsidR="00AC1E76" w:rsidRPr="006E22E6"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  <w:t xml:space="preserve">, </w:t>
            </w:r>
          </w:p>
          <w:p w14:paraId="655CC470" w14:textId="77777777" w:rsidR="00AE3DA2" w:rsidRPr="006E22E6" w:rsidRDefault="00AE3DA2" w:rsidP="000E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- переможцем електронного аукціону авансового внеску,</w:t>
            </w:r>
          </w:p>
          <w:p w14:paraId="32E8E36B" w14:textId="3D5B0C01" w:rsidR="00C561A4" w:rsidRPr="006E22E6" w:rsidRDefault="00AE3DA2" w:rsidP="000E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о</w:t>
            </w:r>
            <w:r w:rsidR="00C561A4" w:rsidRPr="006E22E6">
              <w:rPr>
                <w:rFonts w:ascii="Times New Roman" w:hAnsi="Times New Roman" w:cs="Times New Roman"/>
              </w:rPr>
              <w:t xml:space="preserve">держувач: </w:t>
            </w:r>
            <w:r w:rsidR="008F4F67" w:rsidRPr="006E22E6">
              <w:rPr>
                <w:rFonts w:ascii="Times New Roman" w:hAnsi="Times New Roman" w:cs="Times New Roman"/>
              </w:rPr>
              <w:t xml:space="preserve">ГУК </w:t>
            </w:r>
            <w:r w:rsidR="00C561A4" w:rsidRPr="006E22E6">
              <w:rPr>
                <w:rFonts w:ascii="Times New Roman" w:hAnsi="Times New Roman" w:cs="Times New Roman"/>
              </w:rPr>
              <w:t>Харкі</w:t>
            </w:r>
            <w:r w:rsidR="008F4F67" w:rsidRPr="006E22E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8F4F67" w:rsidRPr="006E22E6">
              <w:rPr>
                <w:rFonts w:ascii="Times New Roman" w:hAnsi="Times New Roman" w:cs="Times New Roman"/>
              </w:rPr>
              <w:t>обл</w:t>
            </w:r>
            <w:proofErr w:type="spellEnd"/>
            <w:r w:rsidR="008F4F67" w:rsidRPr="006E22E6">
              <w:rPr>
                <w:rFonts w:ascii="Times New Roman" w:hAnsi="Times New Roman" w:cs="Times New Roman"/>
              </w:rPr>
              <w:t xml:space="preserve">/МГТ </w:t>
            </w:r>
            <w:r w:rsidR="00C561A4" w:rsidRPr="006E22E6">
              <w:rPr>
                <w:rFonts w:ascii="Times New Roman" w:hAnsi="Times New Roman" w:cs="Times New Roman"/>
              </w:rPr>
              <w:t>Харків</w:t>
            </w:r>
            <w:r w:rsidR="008F4F67" w:rsidRPr="006E22E6">
              <w:rPr>
                <w:rFonts w:ascii="Times New Roman" w:hAnsi="Times New Roman" w:cs="Times New Roman"/>
              </w:rPr>
              <w:t>,</w:t>
            </w:r>
          </w:p>
          <w:p w14:paraId="2B693FF0" w14:textId="3238F26A" w:rsidR="00C561A4" w:rsidRPr="006E22E6" w:rsidRDefault="00C561A4" w:rsidP="000E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рахунок (IBAN): № UA8</w:t>
            </w:r>
            <w:r w:rsidR="008F4F67" w:rsidRPr="006E22E6">
              <w:rPr>
                <w:rFonts w:ascii="Times New Roman" w:hAnsi="Times New Roman" w:cs="Times New Roman"/>
              </w:rPr>
              <w:t>98</w:t>
            </w:r>
            <w:r w:rsidRPr="006E22E6">
              <w:rPr>
                <w:rFonts w:ascii="Times New Roman" w:hAnsi="Times New Roman" w:cs="Times New Roman"/>
              </w:rPr>
              <w:t>9999803341</w:t>
            </w:r>
            <w:r w:rsidR="008F4F67" w:rsidRPr="006E22E6">
              <w:rPr>
                <w:rFonts w:ascii="Times New Roman" w:hAnsi="Times New Roman" w:cs="Times New Roman"/>
              </w:rPr>
              <w:t>79871</w:t>
            </w:r>
            <w:r w:rsidRPr="006E22E6">
              <w:rPr>
                <w:rFonts w:ascii="Times New Roman" w:hAnsi="Times New Roman" w:cs="Times New Roman"/>
              </w:rPr>
              <w:t>000020</w:t>
            </w:r>
            <w:r w:rsidR="008F4F67" w:rsidRPr="006E22E6">
              <w:rPr>
                <w:rFonts w:ascii="Times New Roman" w:hAnsi="Times New Roman" w:cs="Times New Roman"/>
              </w:rPr>
              <w:t>649</w:t>
            </w:r>
          </w:p>
          <w:p w14:paraId="7FC69946" w14:textId="3A150A48" w:rsidR="00C561A4" w:rsidRPr="006E22E6" w:rsidRDefault="00C561A4" w:rsidP="000E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Банк одержувача: Казначейство України (ЕАП)</w:t>
            </w:r>
          </w:p>
          <w:p w14:paraId="00F31063" w14:textId="2CC7A9B6" w:rsidR="00C561A4" w:rsidRPr="006E22E6" w:rsidRDefault="00C561A4" w:rsidP="000E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Код ЄДРПОУ 37</w:t>
            </w:r>
            <w:r w:rsidR="008F4F67" w:rsidRPr="006E22E6">
              <w:rPr>
                <w:rFonts w:ascii="Times New Roman" w:hAnsi="Times New Roman" w:cs="Times New Roman"/>
              </w:rPr>
              <w:t>874947</w:t>
            </w:r>
          </w:p>
          <w:p w14:paraId="07C8667B" w14:textId="77777777" w:rsidR="00C561A4" w:rsidRPr="006E22E6" w:rsidRDefault="00C561A4" w:rsidP="000E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Код класифікації доходів бюджету: 22080401</w:t>
            </w:r>
          </w:p>
          <w:p w14:paraId="2E103F39" w14:textId="77777777" w:rsidR="00AE3DA2" w:rsidRPr="006E22E6" w:rsidRDefault="00AE3DA2" w:rsidP="000E1C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563813" w14:textId="77777777" w:rsidR="00AE3DA2" w:rsidRPr="006E22E6" w:rsidRDefault="00AE3DA2" w:rsidP="000E1C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6E22E6" w:rsidRDefault="00AE3DA2" w:rsidP="00AE3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6E22E6" w:rsidRDefault="00AE3DA2" w:rsidP="00AE3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рахунок (IBAN): № UA258201720355259003000033770</w:t>
            </w:r>
          </w:p>
          <w:p w14:paraId="1F15DF88" w14:textId="77777777" w:rsidR="00AE3DA2" w:rsidRPr="006E22E6" w:rsidRDefault="00AE3DA2" w:rsidP="00AE3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Банк одержувача: Державна казначейства служба України, м. Київ</w:t>
            </w:r>
          </w:p>
          <w:p w14:paraId="252D1D5B" w14:textId="77777777" w:rsidR="00AE3DA2" w:rsidRPr="006E22E6" w:rsidRDefault="00AE3DA2" w:rsidP="00AE3D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22E6">
              <w:rPr>
                <w:rFonts w:ascii="Times New Roman" w:hAnsi="Times New Roman" w:cs="Times New Roman"/>
              </w:rPr>
              <w:t>Код ЄДРПОУ 14095412</w:t>
            </w:r>
          </w:p>
          <w:p w14:paraId="4ECBE155" w14:textId="77777777" w:rsidR="00AE3DA2" w:rsidRPr="006E22E6" w:rsidRDefault="00AE3DA2" w:rsidP="00AE3D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22E6" w:rsidRPr="006E22E6" w14:paraId="286CFD47" w14:textId="77777777" w:rsidTr="000E1C12">
        <w:trPr>
          <w:cantSplit/>
        </w:trPr>
        <w:tc>
          <w:tcPr>
            <w:tcW w:w="8011" w:type="dxa"/>
          </w:tcPr>
          <w:p w14:paraId="02C021D2" w14:textId="77777777" w:rsidR="00C561A4" w:rsidRPr="006E22E6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2E6">
              <w:rPr>
                <w:rFonts w:ascii="Times New Roman" w:hAnsi="Times New Roman"/>
                <w:sz w:val="22"/>
                <w:szCs w:val="22"/>
              </w:rPr>
              <w:lastRenderedPageBreak/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512" w:type="dxa"/>
          </w:tcPr>
          <w:p w14:paraId="1FDE2638" w14:textId="77777777" w:rsidR="00C561A4" w:rsidRPr="006E22E6" w:rsidRDefault="00FF58DF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eastAsia="ru-RU"/>
              </w:rPr>
            </w:pPr>
            <w:hyperlink r:id="rId9" w:history="1">
              <w:r w:rsidR="00C561A4" w:rsidRPr="006E22E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6E22E6" w:rsidRPr="006E22E6" w14:paraId="3EAED4AD" w14:textId="77777777" w:rsidTr="000E1C12">
        <w:trPr>
          <w:cantSplit/>
          <w:trHeight w:val="275"/>
        </w:trPr>
        <w:tc>
          <w:tcPr>
            <w:tcW w:w="8011" w:type="dxa"/>
          </w:tcPr>
          <w:p w14:paraId="783D497B" w14:textId="77777777" w:rsidR="00C561A4" w:rsidRPr="006E22E6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15" w:name="n102"/>
            <w:bookmarkEnd w:id="15"/>
            <w:r w:rsidRPr="006E22E6">
              <w:rPr>
                <w:rFonts w:ascii="Times New Roman" w:hAnsi="Times New Roman" w:cs="Times New Roman"/>
                <w:lang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512" w:type="dxa"/>
          </w:tcPr>
          <w:p w14:paraId="6238F8D4" w14:textId="77777777" w:rsidR="00C561A4" w:rsidRPr="006E22E6" w:rsidRDefault="00C561A4" w:rsidP="000E1C12">
            <w:pPr>
              <w:spacing w:after="0" w:line="240" w:lineRule="auto"/>
              <w:jc w:val="both"/>
            </w:pPr>
            <w:r w:rsidRPr="006E22E6">
              <w:rPr>
                <w:rFonts w:ascii="Times New Roman" w:hAnsi="Times New Roman" w:cs="Times New Roman"/>
                <w:lang w:eastAsia="ru-RU"/>
              </w:rPr>
              <w:t>додаються</w:t>
            </w:r>
          </w:p>
        </w:tc>
      </w:tr>
    </w:tbl>
    <w:p w14:paraId="2FDF6E4F" w14:textId="77777777" w:rsidR="00DF3EF6" w:rsidRPr="006E22E6" w:rsidRDefault="00DF3EF6" w:rsidP="00EF5A56"/>
    <w:sectPr w:rsidR="00DF3EF6" w:rsidRPr="006E22E6" w:rsidSect="00D55C90">
      <w:headerReference w:type="default" r:id="rId10"/>
      <w:footerReference w:type="first" r:id="rId11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DA068" w14:textId="77777777" w:rsidR="00FF58DF" w:rsidRDefault="00FF58DF">
      <w:pPr>
        <w:spacing w:after="0" w:line="240" w:lineRule="auto"/>
      </w:pPr>
      <w:r>
        <w:separator/>
      </w:r>
    </w:p>
  </w:endnote>
  <w:endnote w:type="continuationSeparator" w:id="0">
    <w:p w14:paraId="513D5E92" w14:textId="77777777" w:rsidR="00FF58DF" w:rsidRDefault="00FF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6EA7" w14:textId="77777777" w:rsidR="00193800" w:rsidRDefault="00FF58DF">
    <w:pPr>
      <w:pStyle w:val="a9"/>
      <w:jc w:val="right"/>
    </w:pPr>
  </w:p>
  <w:p w14:paraId="3F21B5C4" w14:textId="77777777" w:rsidR="00193800" w:rsidRDefault="00FF58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28286" w14:textId="77777777" w:rsidR="00FF58DF" w:rsidRDefault="00FF58DF">
      <w:pPr>
        <w:spacing w:after="0" w:line="240" w:lineRule="auto"/>
      </w:pPr>
      <w:r>
        <w:separator/>
      </w:r>
    </w:p>
  </w:footnote>
  <w:footnote w:type="continuationSeparator" w:id="0">
    <w:p w14:paraId="53B9D0C8" w14:textId="77777777" w:rsidR="00FF58DF" w:rsidRDefault="00FF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FF58DF" w:rsidP="00D47950">
    <w:pPr>
      <w:pStyle w:val="a7"/>
      <w:ind w:firstLine="134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4010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03E5B"/>
    <w:rsid w:val="000054B0"/>
    <w:rsid w:val="00050F75"/>
    <w:rsid w:val="00112DBF"/>
    <w:rsid w:val="00166AB0"/>
    <w:rsid w:val="00171B0C"/>
    <w:rsid w:val="0019090C"/>
    <w:rsid w:val="0019489E"/>
    <w:rsid w:val="001C2128"/>
    <w:rsid w:val="00201EB5"/>
    <w:rsid w:val="00205012"/>
    <w:rsid w:val="00231B44"/>
    <w:rsid w:val="00234C11"/>
    <w:rsid w:val="00235012"/>
    <w:rsid w:val="0024167C"/>
    <w:rsid w:val="00243301"/>
    <w:rsid w:val="00252EFC"/>
    <w:rsid w:val="00266E8A"/>
    <w:rsid w:val="002839FC"/>
    <w:rsid w:val="00291883"/>
    <w:rsid w:val="002A3CC5"/>
    <w:rsid w:val="002C35F9"/>
    <w:rsid w:val="002D0049"/>
    <w:rsid w:val="002D74D1"/>
    <w:rsid w:val="00334192"/>
    <w:rsid w:val="00351C12"/>
    <w:rsid w:val="00353A45"/>
    <w:rsid w:val="003876FF"/>
    <w:rsid w:val="003A2A04"/>
    <w:rsid w:val="003A4FF0"/>
    <w:rsid w:val="003B0242"/>
    <w:rsid w:val="003B5966"/>
    <w:rsid w:val="00423B2F"/>
    <w:rsid w:val="00434CA0"/>
    <w:rsid w:val="0044496A"/>
    <w:rsid w:val="0045214D"/>
    <w:rsid w:val="00457C7F"/>
    <w:rsid w:val="00492CD7"/>
    <w:rsid w:val="004F2B94"/>
    <w:rsid w:val="004F484D"/>
    <w:rsid w:val="0051306A"/>
    <w:rsid w:val="00524401"/>
    <w:rsid w:val="00537AA4"/>
    <w:rsid w:val="005468C8"/>
    <w:rsid w:val="00587CBC"/>
    <w:rsid w:val="005B6BA2"/>
    <w:rsid w:val="005C6A3C"/>
    <w:rsid w:val="005E0E76"/>
    <w:rsid w:val="00607AB5"/>
    <w:rsid w:val="006C5FA7"/>
    <w:rsid w:val="006E22E6"/>
    <w:rsid w:val="006F20C7"/>
    <w:rsid w:val="006F2290"/>
    <w:rsid w:val="007047DE"/>
    <w:rsid w:val="007331D5"/>
    <w:rsid w:val="007825FA"/>
    <w:rsid w:val="00793C53"/>
    <w:rsid w:val="007942D1"/>
    <w:rsid w:val="007B3A7A"/>
    <w:rsid w:val="007C6743"/>
    <w:rsid w:val="007D08FF"/>
    <w:rsid w:val="00814B2B"/>
    <w:rsid w:val="008369FB"/>
    <w:rsid w:val="00837566"/>
    <w:rsid w:val="00885C43"/>
    <w:rsid w:val="00887C95"/>
    <w:rsid w:val="008B1218"/>
    <w:rsid w:val="008E144D"/>
    <w:rsid w:val="008F4F67"/>
    <w:rsid w:val="009327D8"/>
    <w:rsid w:val="009430FC"/>
    <w:rsid w:val="00943156"/>
    <w:rsid w:val="0095546F"/>
    <w:rsid w:val="009846DD"/>
    <w:rsid w:val="009B1F67"/>
    <w:rsid w:val="009E211B"/>
    <w:rsid w:val="009F3304"/>
    <w:rsid w:val="009F3826"/>
    <w:rsid w:val="00A26224"/>
    <w:rsid w:val="00A31603"/>
    <w:rsid w:val="00A6296F"/>
    <w:rsid w:val="00A6784D"/>
    <w:rsid w:val="00A963E5"/>
    <w:rsid w:val="00AB7CC1"/>
    <w:rsid w:val="00AC1E76"/>
    <w:rsid w:val="00AE3DA2"/>
    <w:rsid w:val="00AF3517"/>
    <w:rsid w:val="00B038E3"/>
    <w:rsid w:val="00B04BAD"/>
    <w:rsid w:val="00B07E1B"/>
    <w:rsid w:val="00B1024E"/>
    <w:rsid w:val="00B4011A"/>
    <w:rsid w:val="00B4212F"/>
    <w:rsid w:val="00B42F28"/>
    <w:rsid w:val="00B729EC"/>
    <w:rsid w:val="00BA3971"/>
    <w:rsid w:val="00BA5AE0"/>
    <w:rsid w:val="00C16126"/>
    <w:rsid w:val="00C547E4"/>
    <w:rsid w:val="00C561A4"/>
    <w:rsid w:val="00CA41A0"/>
    <w:rsid w:val="00CC0CBD"/>
    <w:rsid w:val="00CC791A"/>
    <w:rsid w:val="00CF5CDF"/>
    <w:rsid w:val="00D018A0"/>
    <w:rsid w:val="00D13D74"/>
    <w:rsid w:val="00D161CC"/>
    <w:rsid w:val="00D25278"/>
    <w:rsid w:val="00D43D45"/>
    <w:rsid w:val="00D55C90"/>
    <w:rsid w:val="00D665B1"/>
    <w:rsid w:val="00DB0871"/>
    <w:rsid w:val="00DD4CE9"/>
    <w:rsid w:val="00DF3EF6"/>
    <w:rsid w:val="00DF5E1D"/>
    <w:rsid w:val="00DF739A"/>
    <w:rsid w:val="00E101EE"/>
    <w:rsid w:val="00E11D78"/>
    <w:rsid w:val="00E1452E"/>
    <w:rsid w:val="00E14CB9"/>
    <w:rsid w:val="00E21DC5"/>
    <w:rsid w:val="00E42BEE"/>
    <w:rsid w:val="00E97348"/>
    <w:rsid w:val="00ED4D53"/>
    <w:rsid w:val="00EF2A85"/>
    <w:rsid w:val="00EF5A56"/>
    <w:rsid w:val="00F233AD"/>
    <w:rsid w:val="00F643AF"/>
    <w:rsid w:val="00F770F0"/>
    <w:rsid w:val="00F81BB1"/>
    <w:rsid w:val="00F854F2"/>
    <w:rsid w:val="00F97ADE"/>
    <w:rsid w:val="00FC6316"/>
    <w:rsid w:val="00FC761E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mp@citynet.khark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7333</Words>
  <Characters>4180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Юрий Крам</cp:lastModifiedBy>
  <cp:revision>16</cp:revision>
  <cp:lastPrinted>2021-04-02T05:21:00Z</cp:lastPrinted>
  <dcterms:created xsi:type="dcterms:W3CDTF">2021-02-23T06:51:00Z</dcterms:created>
  <dcterms:modified xsi:type="dcterms:W3CDTF">2021-04-02T05:23:00Z</dcterms:modified>
</cp:coreProperties>
</file>