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ОГОЛОШЕННЯ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 передачу нерухомого майна в оренду на аукціоні</w:t>
      </w:r>
    </w:p>
    <w:p>
      <w:pPr>
        <w:pStyle w:val="Обычный"/>
      </w:pPr>
    </w:p>
    <w:tbl>
      <w:tblPr>
        <w:tblW w:w="9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6750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Назва аукціону</w:t>
              <w:tab/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Оренда нежитлових приміщень  площею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19,4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 за адресою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Княжий Затон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, 12-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орендодавця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Києва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19020407 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Хрещатик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10,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01001 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.(044) 202-61-77 e-mail: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.gov.ua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балансоутримувача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Комунальне підприємство «Київтеплоенерго»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40538421,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Франка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5,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01001</w:t>
            </w:r>
          </w:p>
        </w:tc>
      </w:tr>
      <w:tr>
        <w:tblPrEx>
          <w:shd w:val="clear" w:color="auto" w:fill="ced7e7"/>
        </w:tblPrEx>
        <w:trPr>
          <w:trHeight w:val="936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об’єкт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нежитлові приміщення загальною площею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19,4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розташовані за адресою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Княжий Затон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12-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 та обліковуються на балансі КП «Київтеплоенерго»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Тип переліку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перший</w:t>
            </w:r>
          </w:p>
        </w:tc>
      </w:tr>
      <w:tr>
        <w:tblPrEx>
          <w:shd w:val="clear" w:color="auto" w:fill="ced7e7"/>
        </w:tblPrEx>
        <w:trPr>
          <w:trHeight w:val="1243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оренди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залишкова балансова вартість об’єкта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30.06.2020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419254,76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грн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первісна балансова 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30.06.2020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496890,75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грн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Тип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нерухоме майно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Пропонований строк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отримання погодження органу управління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Фотографічне зображення майна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 об’єкта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Княжий Затон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12-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Загальна і корисна площа об’єкта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загальна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19,4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корисна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15,4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Характеристика об’єкта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Нежитлові приміщення на першому поверсі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Технічний стан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потужність електромережі і забезпечення комунікаціями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Потребує поточного ремонту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Потужність електромережі –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приєднана потужність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 водопостачання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теплопостачання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газопостачання – відсутнє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Поверховий план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об’єктом оренди є пам’ятка культурної спадщини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щойно виявлений об’єкт культурної спадщини чи його частина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об’єкт не є пам’яткою культурної спадщини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Наявність погодження органу охорони культурної спадщини на передачу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в оренду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наявність рішень про проведення інвестиційного конкурсу або про включення об’єкта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підлягає приватизації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Рішення про проведення інвестиційного конкурсу не приймалось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включено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 підлягає приватизації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Проект договору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додається до оголошення про передачу нерухомого майна в оренду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Умови та додаткові умови оренди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Строк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Стартова орендна плата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4192,55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чотири тисячі сто дев’яносто дві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2096,28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дві тисячі дев’яносто шість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 із зниженням стартової ціни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2096,28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дві тисячі дев’яносто шість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>
        <w:tblPrEx>
          <w:shd w:val="clear" w:color="auto" w:fill="ced7e7"/>
        </w:tblPrEx>
        <w:trPr>
          <w:trHeight w:val="3526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цільове призначення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Майно може бути використане за цільовим призначенням на розсуд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винятком таких цільових призначень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  <w:p>
            <w:pPr>
              <w:pStyle w:val="Нормальний текст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Заклади харчування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кафе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бари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ресторани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які здійснюють продаж товарів підакцизної групи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Торговельні об’єкти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які здійснюють продаж товарів підакцизної групи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Нормальний текст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Нічні клуби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Ресторани з нічним режимом роботи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після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.).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Сауни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лазні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Організація концертів та іншої видовищно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розважальної діяльності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Готелі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хостели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турбази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мотелі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кемпінги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літні будиночки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Комп’ютерні клуби та Інтернет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кафе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Нормальний текст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Збір і сортування вторинної сировини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Письмова згода на передачу майна в суборенду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169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Порядку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Майно передається в оренду з правом передачі в суборенду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умови зобов’язання суборендаря та орендаря щодо відображення в договорі суборенди цільового використання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яким об’єкт буде використовуватися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 при зміні на будь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яке інше використання суборендар повинен повідомляти про таку зміну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 орендар у свою чергу орендодавця та балансоутримувача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Вимоги до орендаря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Потенційний орендар повинен відповідати вимогам до особи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визначеним статтею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Закону України «Про оренду державного та комунального майна»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Контактні дані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номер телефону і адреса електронної пошти працівника балансоутримувача для звернень про ознайомлення з об’єктом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Корнієнко Антон Миколайович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тел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044-207-61-56,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outline w:val="0"/>
                <w:color w:val="0000ff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Hyperlink.0"/>
                <w:rFonts w:ascii="Courier New" w:cs="Courier New" w:hAnsi="Courier New" w:eastAsia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 New" w:cs="Courier New" w:hAnsi="Courier New" w:eastAsia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instrText xml:space="preserve"> HYPERLINK "mailto:korniienko.am@kte.kmda.gov.ua%2520"</w:instrText>
            </w:r>
            <w:r>
              <w:rPr>
                <w:rStyle w:val="Hyperlink.0"/>
                <w:rFonts w:ascii="Courier New" w:cs="Courier New" w:hAnsi="Courier New" w:eastAsia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 New" w:hAnsi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korniienko.am@kte.kmda.gov.ua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0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аукціон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спосіб та дата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 на участь в аукціоні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визначається з урахуванням вимог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установленим Порядком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дата  аукціону «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листопада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2020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на участь в аукціоні                                «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23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листопада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2020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19-30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20-30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години дня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передує дню проведення електронного аукціону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умови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яких проводиться аукціон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мінімального кроку підвищення стартової орендної плати під час аукціону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1%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стартової орендної плати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41,92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                 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сорок одна 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92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гарантійного внеску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2038,94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дві тисячі тридцять вісім 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94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реєстраційного внеску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472,30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чотириста сімдесят дві грн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- 99.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</w:rPr>
              <w:t>реквізити  розрахунків операторів ЕМ за посиланням на сторінку вебсайта адміністратора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</w:rPr>
              <w:t>на якій зазначені реквізити таких рахунків</w:t>
            </w:r>
            <w:r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Інша 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комунальних послуг  відповідно до положень Цивільного та Податкового кодексів України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Технічні реквізити оголошення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Період між аукціоном та аукціоном із зниженням стартової ціни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(20-35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календарних днів з дати оприлюднення оголошення електронною торговою системою про передачу майна в оренду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Єдине посилання на веб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сторінку адміністратора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якій є посилання в алфавітному порядку на веб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сторінки операторів електронного майданчика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які мають 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Реквізити для сплати реєстраційного  внеску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u w:val="single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none"/>
                <w:shd w:val="nil" w:color="auto" w:fill="auto"/>
                <w:rtl w:val="0"/>
              </w:rPr>
              <w:t>Одержувач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none"/>
                <w:shd w:val="nil" w:color="auto" w:fill="auto"/>
                <w:rtl w:val="0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 xml:space="preserve">Києва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Рахунок №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UA52820172035524900300002427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 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перерахування реєстраційного внеску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Банк одержувача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Державна казначейська служба України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МФО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820172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згідно з ЄДРПОУ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19020407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Обычный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425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Antiqu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Нормальний текст">
    <w:name w:val="Нормальний текст"/>
    <w:next w:val="Нормаль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567"/>
      <w:jc w:val="left"/>
      <w:outlineLvl w:val="9"/>
    </w:pPr>
    <w:rPr>
      <w:rFonts w:ascii="Antiqua" w:cs="Antiqua" w:hAnsi="Antiqua" w:eastAsia="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ourier New" w:cs="Courier New" w:hAnsi="Courier New" w:eastAsia="Courier New"/>
      <w:sz w:val="23"/>
      <w:szCs w:val="23"/>
      <w:shd w:val="nil" w:color="auto" w:fill="auto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