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</w:tblGrid>
      <w:tr w:rsidR="00BB47C3" w:rsidRPr="00BB47C3" w14:paraId="698B2279" w14:textId="77777777" w:rsidTr="00BB47C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73A16A" w14:textId="77777777" w:rsidR="00BB47C3" w:rsidRPr="00BB47C3" w:rsidRDefault="00BB47C3" w:rsidP="00BB47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</w:pPr>
            <w:proofErr w:type="spellStart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Категорія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 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справи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№ </w:t>
            </w:r>
          </w:p>
          <w:p w14:paraId="1D0418AE" w14:textId="77777777" w:rsidR="00BB47C3" w:rsidRPr="00BB47C3" w:rsidRDefault="00BB47C3" w:rsidP="00BB47C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ru-UA" w:eastAsia="ru-UA"/>
              </w:rPr>
            </w:pPr>
            <w:r w:rsidRPr="00BB47C3">
              <w:rPr>
                <w:rFonts w:ascii="Arial" w:eastAsia="Times New Roman" w:hAnsi="Arial" w:cs="Arial"/>
                <w:vanish/>
                <w:sz w:val="16"/>
                <w:szCs w:val="16"/>
                <w:lang w:val="ru-UA" w:eastAsia="ru-UA"/>
              </w:rPr>
              <w:t>Начало формы</w:t>
            </w:r>
          </w:p>
          <w:p w14:paraId="41339564" w14:textId="77777777" w:rsidR="00BB47C3" w:rsidRPr="00BB47C3" w:rsidRDefault="00BB47C3" w:rsidP="00BB4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</w:pPr>
            <w:hyperlink r:id="rId4" w:tooltip="Натисніть для перегляду всіх судових рішень по справі" w:history="1">
              <w:r w:rsidRPr="00BB47C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ru-UA" w:eastAsia="ru-UA"/>
                </w:rPr>
                <w:t>909/456/16</w:t>
              </w:r>
            </w:hyperlink>
          </w:p>
          <w:p w14:paraId="72F6F06C" w14:textId="77777777" w:rsidR="00BB47C3" w:rsidRPr="00BB47C3" w:rsidRDefault="00BB47C3" w:rsidP="00BB47C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ru-UA" w:eastAsia="ru-UA"/>
              </w:rPr>
            </w:pPr>
            <w:r w:rsidRPr="00BB47C3">
              <w:rPr>
                <w:rFonts w:ascii="Arial" w:eastAsia="Times New Roman" w:hAnsi="Arial" w:cs="Arial"/>
                <w:vanish/>
                <w:sz w:val="16"/>
                <w:szCs w:val="16"/>
                <w:lang w:val="ru-UA" w:eastAsia="ru-UA"/>
              </w:rPr>
              <w:t>Конец формы</w:t>
            </w:r>
          </w:p>
          <w:p w14:paraId="067249F0" w14:textId="77777777" w:rsidR="00BB47C3" w:rsidRPr="00BB47C3" w:rsidRDefault="00BB47C3" w:rsidP="00BB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Господарські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справи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(до 01.01.2019);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Справи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про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банкрутство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;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Банкрутство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.</w:t>
            </w:r>
          </w:p>
        </w:tc>
      </w:tr>
      <w:tr w:rsidR="00BB47C3" w:rsidRPr="00BB47C3" w14:paraId="07BAAE99" w14:textId="77777777" w:rsidTr="00BB47C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B67532" w14:textId="77777777" w:rsidR="00BB47C3" w:rsidRPr="00BB47C3" w:rsidRDefault="00BB47C3" w:rsidP="00BB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Надіслано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судом: </w:t>
            </w:r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30.09.2021.</w:t>
            </w:r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 Зареєстровано: </w:t>
            </w:r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01.10.2021.</w:t>
            </w:r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 Оприлюднено: </w:t>
            </w:r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04.10.2021.</w:t>
            </w:r>
          </w:p>
        </w:tc>
      </w:tr>
      <w:tr w:rsidR="00BB47C3" w:rsidRPr="00BB47C3" w14:paraId="76CF8D8A" w14:textId="77777777" w:rsidTr="00BB47C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C8D63C" w14:textId="77777777" w:rsidR="00BB47C3" w:rsidRPr="00BB47C3" w:rsidRDefault="00BB47C3" w:rsidP="00BB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Дата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набрання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законної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сили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: </w:t>
            </w:r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29.09.2021</w:t>
            </w:r>
          </w:p>
        </w:tc>
      </w:tr>
      <w:tr w:rsidR="00BB47C3" w:rsidRPr="00BB47C3" w14:paraId="2E32B4D0" w14:textId="77777777" w:rsidTr="00BB47C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75EDDB" w14:textId="77777777" w:rsidR="00BB47C3" w:rsidRPr="00BB47C3" w:rsidRDefault="00BB47C3" w:rsidP="00BB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 xml:space="preserve">Номер судового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провадження</w:t>
            </w:r>
            <w:proofErr w:type="spellEnd"/>
            <w:r w:rsidRPr="00BB47C3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: </w:t>
            </w:r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не </w:t>
            </w:r>
            <w:proofErr w:type="spellStart"/>
            <w:r w:rsidRPr="00BB4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визначено</w:t>
            </w:r>
            <w:proofErr w:type="spellEnd"/>
          </w:p>
        </w:tc>
      </w:tr>
    </w:tbl>
    <w:p w14:paraId="6A4F69A0" w14:textId="77777777" w:rsidR="00BB47C3" w:rsidRPr="00BB47C3" w:rsidRDefault="00BB47C3" w:rsidP="00BB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B47C3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pict w14:anchorId="38DDA672">
          <v:rect id="_x0000_i1025" style="width:0;height:1.5pt" o:hralign="center" o:hrstd="t" o:hrnoshade="t" o:hr="t" fillcolor="black" stroked="f"/>
        </w:pict>
      </w:r>
    </w:p>
    <w:p w14:paraId="039405B5" w14:textId="0A3566F4" w:rsidR="00BB47C3" w:rsidRPr="00BB47C3" w:rsidRDefault="00BB47C3" w:rsidP="00BB4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UA" w:eastAsia="ru-UA"/>
        </w:rPr>
        <w:drawing>
          <wp:inline distT="0" distB="0" distL="0" distR="0" wp14:anchorId="2A47256D" wp14:editId="3107903E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B976A" w14:textId="77777777" w:rsidR="00BB47C3" w:rsidRPr="00BB47C3" w:rsidRDefault="00BB47C3" w:rsidP="00BB47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Справа № 909/456/16</w:t>
      </w:r>
    </w:p>
    <w:p w14:paraId="31DCB339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У Х В А Л А</w:t>
      </w:r>
    </w:p>
    <w:p w14:paraId="7AD452E4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про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банкрута</w:t>
      </w:r>
      <w:proofErr w:type="spellEnd"/>
    </w:p>
    <w:p w14:paraId="3E7CF614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29.09.2021 м.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Івано-Франківськ</w:t>
      </w:r>
      <w:proofErr w:type="spellEnd"/>
    </w:p>
    <w:p w14:paraId="5AF943D7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Господарський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Івано-Франківської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області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судді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Михайлишина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В. В.,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секретар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судового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засідання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Руда Г.В.,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розглянувши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матеріали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справи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банкрутство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Публічного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акціонерного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товариства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Живиця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13849/21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10.08.2021)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Фесенка Є. М.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,</w:t>
      </w:r>
    </w:p>
    <w:p w14:paraId="27AC827F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за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участі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:</w:t>
      </w:r>
    </w:p>
    <w:p w14:paraId="2017117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кредитора - Головного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управління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ДПС 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Івано-Франківській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області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: ОСОБА_1 ,</w:t>
      </w:r>
    </w:p>
    <w:p w14:paraId="3006A999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кредитора 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Акціонерний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комерційний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промислово-інвестиційний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банк":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Туніка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Генадія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Володимировича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режимі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відеоконференцзв`язку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),</w:t>
      </w:r>
    </w:p>
    <w:p w14:paraId="0AA52D79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: Фесенка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Євгенія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Миколайовича (в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режимі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відеоконференцзв`язку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),</w:t>
      </w:r>
    </w:p>
    <w:p w14:paraId="7DCE3B18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інші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учасники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справі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банкрутство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судове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засідання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з`явилися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6BBDF423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 С Т А Н О В И В:</w:t>
      </w:r>
    </w:p>
    <w:p w14:paraId="714BDC9F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провадженні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Господарського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Івано-Франківської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області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перебуває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справа № 909/456/17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банкрутство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Публічного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акціонерного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товариства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Живиця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". Справа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перебуває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процедурі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>арбітражний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Фесенко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Євгеній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 Миколайович.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Розгляд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справи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здійснюється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 </w:t>
      </w:r>
      <w:hyperlink r:id="rId6" w:tgtFrame="_blank" w:tooltip="Кодекс України з процедур банкрутства; нормативно-правовий акт № 2597-VIII від 18.10.2018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Кодексу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України</w:t>
        </w:r>
        <w:proofErr w:type="spellEnd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 з процедур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банкрутства</w:t>
        </w:r>
        <w:proofErr w:type="spellEnd"/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065BADFC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Повідомлення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Публічного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акціонерного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товариства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Живиця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і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відкриття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ліквідаційної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процедури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оприлюднено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офіційному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веб-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сайті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Вищого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господарського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11.12.2019 (№ 64337).</w:t>
      </w:r>
    </w:p>
    <w:p w14:paraId="062E578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23.06.2021 суд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відклав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розгляд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справи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29.09.2021.</w:t>
      </w:r>
    </w:p>
    <w:p w14:paraId="3AE03AEB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08.09.2021 за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13849/21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канцелярії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Фесенка Є. М. поступило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судом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47412CA7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Ухвалою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21.09.2021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розгляд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13849/21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10.08.2021)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Фесенка Є. М.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призначено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судовому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засіданні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29.09.2021.</w:t>
      </w:r>
    </w:p>
    <w:p w14:paraId="2A5ACFFF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27.09.2021 за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14984/21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адресу суду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заставного кредитора -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Промінвестбанк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надійшли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письмові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пояснення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Фесенка Є. М.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78EA2E7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29.09.2021 за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15168/21 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адресу суду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Товариства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обмеженою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відповідальністю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Інноваційне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товариство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"ІНВЕП"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надійшло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перегляд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формування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лотів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заставного майна по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справі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№ 909/456/16.</w:t>
      </w:r>
    </w:p>
    <w:p w14:paraId="4B069534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Згідно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абзацом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"http://search.ligazakon.ua/l_doc2.nsf/link1/an_1303/ed_2021_08_05/pravo1/T_179800.html?pravo=1" \l "1303" \o "Господарський процесуальний кодекс України (ред. з 15.12.2017); нормативно-правовий акт № 1798-XII від 06.11.1991"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170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Господарського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процесуального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письмові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заява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заперечення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підписуються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заявником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його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представником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5696C86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"http://search.ligazakon.ua/l_doc2.nsf/link1/an_26/ed_2018_11_07/pravo1/T030851.html?pravo=1" \l "26" \o "Про електронні документи та електронний документообіг; нормативно-правовий акт № 851-IV від 22.05.2003"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5 Закону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"Про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електронні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документи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електронний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документообіг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"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документ - документ,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інформація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якому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зафіксована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вигляді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даних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включаючи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обов`язкові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реквізити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документа.</w:t>
      </w:r>
    </w:p>
    <w:p w14:paraId="7193E3F2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Частинами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1, 2 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"http://search.ligazakon.ua/l_doc2.nsf/link1/an_31/ed_2018_11_07/pravo1/T030851.html?pravo=1" \l "31" \o "Про електронні документи та електронний документообіг; нормативно-правовий акт № 851-IV від 22.05.2003"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6 Закону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"Про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електронні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документи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електронний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документообіг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"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підпис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є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обов`язковим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реквізитом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документа,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використовується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для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ідентифікації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автора та/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підписування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документа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іншим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суб`єктами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документообігу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Накладанням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підпису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завершує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створення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документа.</w:t>
      </w:r>
    </w:p>
    <w:p w14:paraId="519CBFC3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4 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"http://search.ligazakon.ua/l_doc2.nsf/link1/an_1303/ed_2021_08_05/pravo1/T_179800.html?pravo=1" \l "1303" \o "Господарський процесуальний кодекс України (ред. з 15.12.2017); нормативно-правовий акт № 1798-XII від 06.11.1991"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170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Господарського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процесуального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зазначено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встановивши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письмову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заяву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заперечення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подано без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>додержання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вимог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першої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другої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цієї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повертає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її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заявнику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розгляду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057577A2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Відтак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взявши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уваги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зазначені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законодавчі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положення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встановивши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15168/21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29.09.2021)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Товариства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обмеженою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відповідальністю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Інноваційне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товариство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"ІНВЕП" про перегляд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формування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лотів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заставного майна,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надіслане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адресу суду без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накладання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підпису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суд приходить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висновку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залишення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вказаного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розгляду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067B2286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Присутні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судовому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засіданні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29.09.2021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представник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заставного кредитора -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Промінвестбанк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 (в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режимі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відеоконференцзв`язку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представник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кредитора - Головного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управління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ДПС 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Івано-Франківській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області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задоволення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Фесенка Є. М.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заперечили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3CE829A6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Заслухавши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думку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присутніх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у судовому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засіданні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учасників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справи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банкрутство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дослідивши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. № 13849/21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10.08.2021)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арбітражного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керуючого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) Фесенка Є. М. про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додані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нього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документи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, суд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зазначає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наступне</w:t>
      </w:r>
      <w:proofErr w:type="spellEnd"/>
      <w:r w:rsidRPr="00BB47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UA" w:eastAsia="ru-UA"/>
        </w:rPr>
        <w:t>.</w:t>
      </w:r>
    </w:p>
    <w:p w14:paraId="31929D46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приписів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"http://search.ligazakon.ua/l_doc2.nsf/link1/an_6/ed_2021_07_15/pravo1/T182597.html?pravo=1" \l "6"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1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банкрутство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господарським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неспроможність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боржника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відновити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свою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платоспроможність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допомогою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процедури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санації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реструктуризації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і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погасити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встановлені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 порядку,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Кодексом,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грошові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вимоги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кредиторів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інакше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через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застосування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ліквідаційної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процедури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призначений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господарським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судом для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здійснення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ліквідаційної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процедури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60A84358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Абзацом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7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"http://search.ligazakon.ua/l_doc2.nsf/link1/an_952/ed_2021_07_15/pravo1/T182597.html?pravo=1" \l "952"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59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встановлено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допускається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порядку,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передбаченому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Кодексом.</w:t>
      </w:r>
    </w:p>
    <w:p w14:paraId="322C7AA9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Згідно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абзацом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15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"http://search.ligazakon.ua/l_doc2.nsf/link1/an_977/ed_2021_07_15/pravo1/T182597.html?pravo=1" \l "977"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61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дня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свого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призначення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для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задоволення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вимог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внесених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реєстру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вимог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кредиторів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у порядку,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передбаченому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Кодексом.</w:t>
      </w:r>
    </w:p>
    <w:p w14:paraId="6F6A6A4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"http://search.ligazakon.ua/l_doc2.nsf/link1/an_1012/ed_2021_07_15/pravo1/T182597.html?pravo=1" \l "1012"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62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усі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види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майнових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активів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майнові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права)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які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належать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йому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праві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власності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господарського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включаються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складу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ліквідаційної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маси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607B16A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відповідності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"http://search.ligazakon.ua/l_doc2.nsf/link1/an_1024/ed_2021_07_15/pravo1/T182597.html?pravo=1" \l "1024"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63 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hyperlink r:id="rId7" w:anchor="1024" w:tgtFrame="_blank" w:tooltip="Кодекс України з процедур банкрутства; нормативно-правовий акт № 2597-VIII від 18.10.2018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Кодексу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України</w:t>
        </w:r>
        <w:proofErr w:type="spellEnd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 з процедур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банкрутства</w:t>
        </w:r>
        <w:proofErr w:type="spellEnd"/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після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проведення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інвентаризації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отримання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згоди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продаж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>здійснює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Початковою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є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його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6D21EDBF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"http://search.ligazakon.ua/l_doc2.nsf/link1/an_1130/ed_2021_07_15/pravo1/T182597.html?pravo=1" \l "1130"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75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за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погодженням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комітетом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кредиторів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кредитором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щодо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майна, яке є предметом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).</w:t>
      </w:r>
    </w:p>
    <w:p w14:paraId="49AA9EB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Частинами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2, 3 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"http://search.ligazakon.ua/l_doc2.nsf/link1/an_1130/ed_2021_07_15/pravo1/T182597.html?pravo=1" \l "1130"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75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встановлено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обов`язкових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умов продажу належать: склад майна (лот); 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; 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Якщо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підлягає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яке є предметом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до умов продажу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належить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також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витрати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пов`язані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утриманням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збереженням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продажем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цього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майна,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які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підлягають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відшкодуванню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коштів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отриманих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реалізації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такого майна.</w:t>
      </w:r>
    </w:p>
    <w:p w14:paraId="3198974C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Згідно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4 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"http://search.ligazakon.ua/l_doc2.nsf/link1/an_1130/ed_2021_07_15/pravo1/T182597.html?pravo=1" \l "1130"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75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зобов`язаний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направити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членам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комітету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кредиторів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протягом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днів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дня, коли вони одержали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мали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одержати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скликати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комітет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кредиторів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Якщо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є предметом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зобов`язаний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направити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кредитору.</w:t>
      </w:r>
    </w:p>
    <w:p w14:paraId="45F101E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7 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"http://search.ligazakon.ua/l_doc2.nsf/link1/an_1130/ed_2021_07_15/pravo1/T182597.html?pravo=1" \l "1130"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75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разі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якщо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комітет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кредиторів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прийняв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рішення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відмову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наданні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згоди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продаж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прийняв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жодного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рішення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засіданні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комітету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кредиторів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протягом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днів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дня, коли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 одержав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одержати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якщо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згоден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прийнятим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комітетом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кредиторів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або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рішенням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зобов`язаний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звернутися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суду. У такому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разі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визначаються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судом.</w:t>
      </w:r>
    </w:p>
    <w:p w14:paraId="49E28C6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вказаному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Фесенко Є. М.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зазначає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наразі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залишається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непроданим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яке є предметом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вимог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Промінвестбанк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Після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другого повторного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Промінвестбанк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звернувся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із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заявою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продаж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йому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непроданого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майна. Тому,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оскільки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вже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безрезультативно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виставлялось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умовами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які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були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свій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час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погоджені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кредитором,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було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прийнято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рішення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частково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переформатувати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лоти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змінити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виходячи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із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прогнозованого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попиту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погодити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нові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кредитором.</w:t>
      </w:r>
    </w:p>
    <w:p w14:paraId="1330251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Так, 16.07.2021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було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надано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Промінвестбанк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наступні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погодження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:</w:t>
      </w:r>
    </w:p>
    <w:p w14:paraId="390B40D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майна, яке є предметом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справі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№ 909/456/16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банкрутство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Живиця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"</w:t>
      </w:r>
    </w:p>
    <w:p w14:paraId="7FC24F83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1</w:t>
      </w:r>
    </w:p>
    <w:p w14:paraId="5C7160A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Адміністративна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будівля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001;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 - 1 243 694,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0494ED1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1: 1 243 694,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605739DB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1 243 694,00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60 %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0D53657F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536971EE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34</w:t>
      </w:r>
    </w:p>
    <w:p w14:paraId="0F44AB87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Цех клею,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37;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108;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938 755,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58751B6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2: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Підстанція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36;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066;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267 216,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1FA8411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3: Огорожа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металу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ІІІ;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059;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39 763,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14D4E113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34: 1 245 734,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45CB5CB6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34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1 245 734, 00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50 %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25B07E8C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7EF37ED2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36</w:t>
      </w:r>
    </w:p>
    <w:p w14:paraId="5E5546CF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Склад, клуб,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лабораторія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магазин,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25;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087;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736 558,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088A4B3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36: 736 558,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3C754D69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36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736 558, 00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7B277E59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352707EE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41</w:t>
      </w:r>
    </w:p>
    <w:p w14:paraId="35680902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Підсобне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приміщення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29;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065;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10 000,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732E598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2: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Пральня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лазня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30;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072;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90 000,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542CAA84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41: 100 000,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50965F2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100 000, 00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33CCFC7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59FD210A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42</w:t>
      </w:r>
    </w:p>
    <w:p w14:paraId="5EE959F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Оздоровчий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комплекс,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15;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063;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807 408,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392E4B8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Разом по Лоту № 42: 807 408, 00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401537B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42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807 408, 00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30 %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09082D7F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19C620D4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45</w:t>
      </w:r>
    </w:p>
    <w:p w14:paraId="60E627A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Енергетична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установка УЕАС-1000;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098;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80 000,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788B115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45: 80 000, 00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0A245BB9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45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80 000, 00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50 %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2FDF6F19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29B5CFF9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48</w:t>
      </w:r>
    </w:p>
    <w:p w14:paraId="3EF85EA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 xml:space="preserve">№ 1: Ворота,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І;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012;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4 953,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5953BBF4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2: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Прохідна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2;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073;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466 075,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7C5E5B93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3: Склад № 1,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3;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083;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21 230,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4AEC11BC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4: Склад № 2,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4;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084;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21 230,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5D713289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5: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Вбиральня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5;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007;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44 731,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5AAC986C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6: Огорожа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металу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№ 2,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IV;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060;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24 638,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2A603B3B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48: 582 857,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48CD11A9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48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582 857, 00</w:t>
      </w: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40 %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7E2B685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624DE927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49</w:t>
      </w:r>
    </w:p>
    <w:p w14:paraId="61F67593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Рембуддільниця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7;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079;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62 082,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470984A2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49: 62 082,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53321AD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49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62 082, 00</w:t>
      </w: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50 %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443C515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590A63E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коштів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отриманих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реалізації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майна, яке є предметом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відшкодуванню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підлягають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:</w:t>
      </w:r>
    </w:p>
    <w:p w14:paraId="7EA69BA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1.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Додаткова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винагорода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розмірі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3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трьох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відсотків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суми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погашених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вимог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кредитора.</w:t>
      </w:r>
    </w:p>
    <w:p w14:paraId="58AF667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 xml:space="preserve">2.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Витрати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пов`язані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продажем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цього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майна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винагорода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оператора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авторизованого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майданчика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).</w:t>
      </w:r>
    </w:p>
    <w:p w14:paraId="5BFA874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3.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Основна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грошова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винагорода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35244A1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Однак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вбачається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із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цього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часу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надав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запит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не погодив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майна,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зв`язку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із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керуючись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"http://search.ligazakon.ua/l_doc2.nsf/link1/an_1130/ed_2021_07_15/pravo1/T182597.html?pravo=1" \l "1130"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статтею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75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просить суд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вищевказаного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майна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Живиця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враховуючи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розроблені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запропоновані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4C3A4C83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Судом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встановлено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зазначені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отримано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особисто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16.07.2021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представником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Промінвестбанк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 адвокатом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Туніком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Г. В.,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підтверджується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розпискою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отримання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копії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листа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16.07.2021 № 01-29/1144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щодо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погодження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умов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реалізації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заставного майна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справі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банкрутство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Живиця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долученого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13849/21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10.08.2021)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Фесенка Є. М.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73960B5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письмових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поясненнях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надійшли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суду 27.09.2021 за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 № 14984/21,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Промінвестбанк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погоджується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із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тим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боржника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яке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перебуває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заставі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і яке на даний час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реалізоване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підлягає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подальшій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реалізації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тому Банк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заперечує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задоволення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Фесенка Є. М.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згоду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подальший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запропонованих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умовах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5E3EDD74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Відтак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беручи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уваги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письмові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пояснення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кредитора - ПАТ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Промінвестбанк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враховуючи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ліквідатором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відповідають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нормам </w:t>
      </w:r>
      <w:hyperlink r:id="rId8" w:tgtFrame="_blank" w:tooltip="Кодекс України з процедур банкрутства; нормативно-правовий акт № 2597-VIII від 18.10.2018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Кодексу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України</w:t>
        </w:r>
        <w:proofErr w:type="spellEnd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 з процедур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банкрутства</w:t>
        </w:r>
        <w:proofErr w:type="spellEnd"/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суд 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відповідності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7 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"http://search.ligazakon.ua/l_doc2.nsf/link1/an_1130/ed_2021_07_15/pravo1/T182597.html?pravo=1" \l "1130" \o "Кодекс України з процедур банкрутства; нормативно-правовий акт № 2597-VIII від 18.10.2018"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75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з процедур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банкрутства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дійшов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висновку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що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13849/21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10.08.2021)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Фесенка Є. М.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,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підлягає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задоволенню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2CC28FEC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Керуючись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статтями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hyperlink r:id="rId9" w:anchor="33" w:tgtFrame="_blank" w:tooltip="Кодекс України з процедур банкрутства; нормативно-правовий акт № 2597-VIII від 18.10.2018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2</w:t>
        </w:r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, </w:t>
      </w:r>
      <w:hyperlink r:id="rId10" w:anchor="969" w:tgtFrame="_blank" w:tooltip="Кодекс України з процедур банкрутства; нормативно-правовий акт № 2597-VIII від 18.10.2018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60</w:t>
        </w:r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, </w:t>
      </w:r>
      <w:hyperlink r:id="rId11" w:anchor="977" w:tgtFrame="_blank" w:tooltip="Кодекс України з процедур банкрутства; нормативно-правовий акт № 2597-VIII від 18.10.2018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61</w:t>
        </w:r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, </w:t>
      </w:r>
      <w:hyperlink r:id="rId12" w:anchor="1130" w:tgtFrame="_blank" w:tooltip="Кодекс України з процедур банкрутства; нормативно-правовий акт № 2597-VIII від 18.10.2018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75</w:t>
        </w:r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, </w:t>
      </w:r>
      <w:hyperlink r:id="rId13" w:anchor="1183" w:tgtFrame="_blank" w:tooltip="Кодекс України з процедур банкрутства; нормативно-правовий акт № 2597-VIII від 18.10.2018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80 Кодексу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України</w:t>
        </w:r>
        <w:proofErr w:type="spellEnd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 з процедур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банкрутства</w:t>
        </w:r>
        <w:proofErr w:type="spellEnd"/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,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begin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instrText xml:space="preserve"> HYPERLINK "http://search.ligazakon.ua/l_doc2.nsf/link1/an_1790/ed_2021_08_05/pravo1/T_179800.html?pravo=1" \l "1790" \o "Господарський процесуальний кодекс України (ред. з 15.12.2017); нормативно-правовий акт № 1798-XII від 06.11.1991" \t "_blank" </w:instrTex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separate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статтями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233 - 235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Господарського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процесуального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 xml:space="preserve"> кодексу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UA" w:eastAsia="ru-UA"/>
        </w:rPr>
        <w:t>України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fldChar w:fldCharType="end"/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, суд, -</w:t>
      </w:r>
    </w:p>
    <w:p w14:paraId="3F180FF9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П О С Т А Н О В И В:</w:t>
      </w:r>
    </w:p>
    <w:p w14:paraId="1929A8F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1.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Клопотання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13849/21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10.08.2021)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арбітражного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керуючого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Фесенка Є. М.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умов продажу майна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задовольнити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6E44AA1B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lastRenderedPageBreak/>
        <w:t>2. 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Визначити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продажу майна яке є предметом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справі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№ 909/456/16 про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банкрутство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Публічного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акціонерного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товариства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"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Живиця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" на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наступних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умовах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:</w:t>
      </w:r>
    </w:p>
    <w:p w14:paraId="5B3EB07D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1</w:t>
      </w:r>
    </w:p>
    <w:p w14:paraId="0F058DCB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Адміністративна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будівля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001;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 - 1 243 694,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631D6B2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1: 1 243 694,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7AA593A8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1 243 694,00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60 %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3D1E8CF7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5812C029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34</w:t>
      </w:r>
    </w:p>
    <w:p w14:paraId="6262DC54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Цех клею,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37;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108;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938 755,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05AB70E4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2: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Підстанція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36;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066;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267 216,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1D167D4C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3: Огорожа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металу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ІІІ;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059;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39 763,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02D1955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34: 1 245 734,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3D5BF8F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34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1 245 734, 00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50 %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0C69D51A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5320FC9E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36</w:t>
      </w:r>
    </w:p>
    <w:p w14:paraId="33881FC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Склад, клуб,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лабораторія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магазин,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25;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087;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736 558,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0836E73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36: 736 558,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3D51C482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36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736 558, 00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04EC95A8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03360D20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41</w:t>
      </w:r>
    </w:p>
    <w:p w14:paraId="4BA235DA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Підсобне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приміщення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29;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065;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10 000,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28F8D30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2: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Пральня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лазня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30;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072;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90 000,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6CC37992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41: 100 000,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221BB653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41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100 000, 00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1C2E515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37F43401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42</w:t>
      </w:r>
    </w:p>
    <w:p w14:paraId="2E7BCE53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Оздоровчий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комплекс,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15;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063;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807 408,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5EA71653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Разом по Лоту № 42: 807 408, 00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4B1055A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42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807 408, 00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30 %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4CB1D568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5D54E167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45</w:t>
      </w:r>
    </w:p>
    <w:p w14:paraId="1C581878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Енергетична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установка УЕАС-1000;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098;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80 000,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7AAF6438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45: 80 000, 00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35A4B42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45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80 000, 00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ніж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50 %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0A9F0C2A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12A26740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48</w:t>
      </w:r>
    </w:p>
    <w:p w14:paraId="7B5FBA5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Ворота,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І;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012;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4 953,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227DAA3A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2: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Прохідна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2;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073;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466 075,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49F83322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3: Склад № 1,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3;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083;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21 230,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51CE84CE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4: Склад № 2,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4;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084;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21 230,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7AC9AA6D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5: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Вбиральня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5;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007;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44 731,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259BFE67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6: Огорожа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металу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№ 2,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IV;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060;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24 638,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6C7B70FC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48: 582 857,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56AA5CE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48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582 857, 00</w:t>
      </w: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40 %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60BAA604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737FC5B6" w14:textId="77777777" w:rsidR="00BB47C3" w:rsidRPr="00BB47C3" w:rsidRDefault="00BB47C3" w:rsidP="00BB4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Лот № 49</w:t>
      </w:r>
    </w:p>
    <w:p w14:paraId="07D0C44B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№ 1: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Рембуддільниця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літ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7;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інв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. № 079;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кількість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- 1;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без ПДВ 62 082, 00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;</w:t>
      </w:r>
    </w:p>
    <w:p w14:paraId="6F071762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Разом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вартість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 xml:space="preserve"> Лоту № 49: 62 082, 00 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.</w:t>
      </w:r>
    </w:p>
    <w:p w14:paraId="7E18F5E5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Початкова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ціна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Лоту № 49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62 082, 00</w:t>
      </w: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гривень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без ПДВ,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можливістю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зниження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граничної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яка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не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нижче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50 %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1E9E5698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Крок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аукціону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1 % (один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відсоток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початкової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вартості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лота.</w:t>
      </w:r>
    </w:p>
    <w:p w14:paraId="3B6CB732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коштів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отриманих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реалізації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майна, яке є предметом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відшкодуванню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підлягають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:</w:t>
      </w:r>
    </w:p>
    <w:p w14:paraId="54BCD8EC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lastRenderedPageBreak/>
        <w:t xml:space="preserve">1.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Додаткова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винагорода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у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розмірі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3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трьох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)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відсотків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суми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погашених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вимог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забезпеченого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кредитора.</w:t>
      </w:r>
    </w:p>
    <w:p w14:paraId="6BDAB4D1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2.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Витрати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пов`язані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з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продажем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цього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майна (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винагорода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оператора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авторизованого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електронного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майданчика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).</w:t>
      </w:r>
    </w:p>
    <w:p w14:paraId="4057A306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3.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Основна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грошова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винагорода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ліквідатора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7D15E2A3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3.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 Ухвала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набирає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законної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сили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29.09.2021 та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може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бути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оскаржена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апеляційному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порядку до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Західного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апеляційного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господарського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суду шляхом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подання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апеляційної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скарги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в строки,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визначені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статтею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hyperlink r:id="rId14" w:anchor="2057" w:tgtFrame="_blank" w:tooltip="Господарський процесуальний кодекс України (ред. з 15.12.2017); нормативно-правовий акт № 1798-XII від 06.11.1991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256</w:t>
        </w:r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,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частиною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4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розділу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hyperlink r:id="rId15" w:anchor="2914" w:tgtFrame="_blank" w:tooltip="Господарський процесуальний кодекс України (ред. з 15.12.2017); нормативно-правовий акт № 1798-XII від 06.11.1991" w:history="1"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Х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Господарського</w:t>
        </w:r>
        <w:proofErr w:type="spellEnd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процесуального</w:t>
        </w:r>
        <w:proofErr w:type="spellEnd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 xml:space="preserve"> кодексу </w:t>
        </w:r>
        <w:proofErr w:type="spellStart"/>
        <w:r w:rsidRPr="00BB47C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ru-UA" w:eastAsia="ru-UA"/>
          </w:rPr>
          <w:t>України</w:t>
        </w:r>
        <w:proofErr w:type="spellEnd"/>
      </w:hyperlink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.</w:t>
      </w:r>
    </w:p>
    <w:p w14:paraId="4BA46FAA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4.</w:t>
      </w:r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Повний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текст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ухвали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 xml:space="preserve"> </w:t>
      </w:r>
      <w:proofErr w:type="spellStart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складено</w:t>
      </w:r>
      <w:proofErr w:type="spellEnd"/>
      <w:r w:rsidRPr="00BB47C3"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  <w:t> 30.09.2021.</w:t>
      </w:r>
    </w:p>
    <w:p w14:paraId="7E5CAEB0" w14:textId="77777777" w:rsidR="00BB47C3" w:rsidRPr="00BB47C3" w:rsidRDefault="00BB47C3" w:rsidP="00BB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UA" w:eastAsia="ru-UA"/>
        </w:rPr>
      </w:pP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Суддя</w:t>
      </w:r>
      <w:proofErr w:type="spellEnd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 В. В. </w:t>
      </w:r>
      <w:proofErr w:type="spellStart"/>
      <w:r w:rsidRPr="00BB4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UA" w:eastAsia="ru-UA"/>
        </w:rPr>
        <w:t>Михайлишин</w:t>
      </w:r>
      <w:proofErr w:type="spellEnd"/>
    </w:p>
    <w:p w14:paraId="39881A25" w14:textId="77777777" w:rsidR="004B383B" w:rsidRDefault="004B383B"/>
    <w:sectPr w:rsidR="004B38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C3"/>
    <w:rsid w:val="004B383B"/>
    <w:rsid w:val="008466B5"/>
    <w:rsid w:val="00B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3650"/>
  <w15:chartTrackingRefBased/>
  <w15:docId w15:val="{33513D3E-B50A-4F08-8029-821AAF2D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47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UA" w:eastAsia="ru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B47C3"/>
    <w:rPr>
      <w:rFonts w:ascii="Arial" w:eastAsia="Times New Roman" w:hAnsi="Arial" w:cs="Arial"/>
      <w:vanish/>
      <w:sz w:val="16"/>
      <w:szCs w:val="1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BB47C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47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UA" w:eastAsia="ru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B47C3"/>
    <w:rPr>
      <w:rFonts w:ascii="Arial" w:eastAsia="Times New Roman" w:hAnsi="Arial" w:cs="Arial"/>
      <w:vanish/>
      <w:sz w:val="16"/>
      <w:szCs w:val="16"/>
      <w:lang w:val="ru-UA" w:eastAsia="ru-UA"/>
    </w:rPr>
  </w:style>
  <w:style w:type="paragraph" w:styleId="a4">
    <w:name w:val="Normal (Web)"/>
    <w:basedOn w:val="a"/>
    <w:uiPriority w:val="99"/>
    <w:semiHidden/>
    <w:unhideWhenUsed/>
    <w:rsid w:val="00BB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21_07_15/pravo1/T182597.html?pravo=1" TargetMode="External"/><Relationship Id="rId13" Type="http://schemas.openxmlformats.org/officeDocument/2006/relationships/hyperlink" Target="http://search.ligazakon.ua/l_doc2.nsf/link1/an_1183/ed_2021_07_15/pravo1/T182597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024/ed_2021_07_15/pravo1/T182597.html?pravo=1" TargetMode="External"/><Relationship Id="rId12" Type="http://schemas.openxmlformats.org/officeDocument/2006/relationships/hyperlink" Target="http://search.ligazakon.ua/l_doc2.nsf/link1/an_1130/ed_2021_07_15/pravo1/T182597.html?prav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21_07_15/pravo1/T182597.html?pravo=1" TargetMode="External"/><Relationship Id="rId11" Type="http://schemas.openxmlformats.org/officeDocument/2006/relationships/hyperlink" Target="http://search.ligazakon.ua/l_doc2.nsf/link1/an_977/ed_2021_07_15/pravo1/T182597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2914/ed_2021_08_05/pravo1/T_179800.html?pravo=1" TargetMode="External"/><Relationship Id="rId10" Type="http://schemas.openxmlformats.org/officeDocument/2006/relationships/hyperlink" Target="http://search.ligazakon.ua/l_doc2.nsf/link1/an_969/ed_2021_07_15/pravo1/T182597.html?pravo=1" TargetMode="External"/><Relationship Id="rId4" Type="http://schemas.openxmlformats.org/officeDocument/2006/relationships/hyperlink" Target="https://reyestr.court.gov.ua/Review/99998874" TargetMode="External"/><Relationship Id="rId9" Type="http://schemas.openxmlformats.org/officeDocument/2006/relationships/hyperlink" Target="http://search.ligazakon.ua/l_doc2.nsf/link1/an_33/ed_2021_07_15/pravo1/T182597.html?pravo=1" TargetMode="External"/><Relationship Id="rId14" Type="http://schemas.openxmlformats.org/officeDocument/2006/relationships/hyperlink" Target="http://search.ligazakon.ua/l_doc2.nsf/link1/an_2057/ed_2021_08_05/pravo1/T_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3815</Words>
  <Characters>21747</Characters>
  <Application>Microsoft Office Word</Application>
  <DocSecurity>0</DocSecurity>
  <Lines>181</Lines>
  <Paragraphs>51</Paragraphs>
  <ScaleCrop>false</ScaleCrop>
  <Company/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2021-10-05T07:54:00Z</dcterms:created>
  <dcterms:modified xsi:type="dcterms:W3CDTF">2021-10-05T07:55:00Z</dcterms:modified>
</cp:coreProperties>
</file>