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AF6" w:rsidRPr="00175E74" w:rsidRDefault="00256AF6" w:rsidP="00256AF6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5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347F1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256AF6" w:rsidRDefault="00256AF6" w:rsidP="00256AF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29 сесії Харківської міської ради 7 скликання від 21.08.2019 № 1713/19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D804B4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80097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цокольного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поверху в нежитловій будівлі </w:t>
      </w:r>
    </w:p>
    <w:p w:rsidR="00853680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0097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80097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169,3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по </w:t>
      </w:r>
      <w:r w:rsidR="0080097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проспекту Московському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80097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35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F618D3" w:rsidRPr="00247C52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AB542B">
              <w:t>цокольного</w:t>
            </w:r>
            <w:r w:rsidRPr="00AF5CAD">
              <w:t xml:space="preserve"> поверху № </w:t>
            </w:r>
            <w:r w:rsidR="00AB542B">
              <w:t>І-:-ІХ</w:t>
            </w:r>
            <w:r w:rsidRPr="00AF5CAD">
              <w:t xml:space="preserve"> загальною в нежитловій будівлі літ. «</w:t>
            </w:r>
            <w:r w:rsidR="00800975">
              <w:t>В</w:t>
            </w:r>
            <w:r w:rsidR="00444BA5">
              <w:t>-1</w:t>
            </w:r>
            <w:r w:rsidRPr="00AF5CAD">
              <w:t>»</w:t>
            </w:r>
            <w:r w:rsidR="00AB542B" w:rsidRPr="00AF5CAD">
              <w:t xml:space="preserve"> площею </w:t>
            </w:r>
            <w:r w:rsidR="00AB542B">
              <w:t>169,3</w:t>
            </w:r>
            <w:r w:rsidR="00AB542B" w:rsidRPr="00AF5CAD">
              <w:t xml:space="preserve"> кв.м</w:t>
            </w:r>
            <w:r w:rsidRPr="00AF5CAD">
              <w:t xml:space="preserve"> розташовані в </w:t>
            </w:r>
            <w:r w:rsidR="00AB542B">
              <w:t>Московському</w:t>
            </w:r>
            <w:r w:rsidRPr="00AF5CAD">
              <w:t xml:space="preserve"> районі міста за адресою: м. Харків, </w:t>
            </w:r>
            <w:r w:rsidR="00AB542B">
              <w:t>проспект Московський, 35</w:t>
            </w:r>
            <w:r w:rsidRPr="00AF5CAD">
              <w:t>.</w:t>
            </w:r>
            <w:r w:rsidR="00853680" w:rsidRPr="00247C52">
              <w:t xml:space="preserve"> </w:t>
            </w:r>
            <w:r w:rsidR="00AB542B">
              <w:t>Рік побудови -</w:t>
            </w:r>
            <w:r w:rsidR="00294DB4">
              <w:t xml:space="preserve"> </w:t>
            </w:r>
            <w:r w:rsidR="00AB542B">
              <w:t>1917.</w:t>
            </w:r>
            <w:r w:rsidR="00A07903">
              <w:t xml:space="preserve"> </w:t>
            </w:r>
            <w:r w:rsidR="00444BA5">
              <w:t>Планування приміщень</w:t>
            </w:r>
            <w:r w:rsidR="00A07903">
              <w:t xml:space="preserve"> не</w:t>
            </w:r>
            <w:r w:rsidR="00444BA5" w:rsidRPr="00552E04">
              <w:t xml:space="preserve"> </w:t>
            </w:r>
            <w:r w:rsidR="00444BA5">
              <w:t>відповідає технічному плану</w:t>
            </w:r>
            <w:r w:rsidR="001F4D84">
              <w:t xml:space="preserve">. </w:t>
            </w:r>
            <w:r w:rsidR="006E605D">
              <w:t>Фундамент з цегли, с</w:t>
            </w:r>
            <w:r w:rsidR="00C15DE5">
              <w:t>тіни нежитлових приміщень</w:t>
            </w:r>
            <w:r w:rsidR="001F4D84">
              <w:t xml:space="preserve"> з цегли,</w:t>
            </w:r>
            <w:r w:rsidR="00C15DE5">
              <w:t xml:space="preserve"> </w:t>
            </w:r>
            <w:r w:rsidR="00B271EF">
              <w:t>напівзруйновані</w:t>
            </w:r>
            <w:r w:rsidR="009C6F6F">
              <w:t>,</w:t>
            </w:r>
            <w:r w:rsidR="00444BA5">
              <w:t xml:space="preserve"> </w:t>
            </w:r>
            <w:r w:rsidR="006E605D">
              <w:t>перекриття відсутнє</w:t>
            </w:r>
            <w:r w:rsidR="0026581E">
              <w:t>.</w:t>
            </w:r>
            <w:bookmarkStart w:id="1" w:name="_Hlk6389308"/>
            <w:r w:rsidR="00294DB4">
              <w:t xml:space="preserve"> Вхід - через  приміщення, які є приватною власністю. </w:t>
            </w:r>
            <w:r w:rsidR="009C6F6F">
              <w:t>Е</w:t>
            </w:r>
            <w:r>
              <w:t>лектропостачання</w:t>
            </w:r>
            <w:r w:rsidR="009C6F6F">
              <w:t>, о</w:t>
            </w:r>
            <w:r w:rsidR="008C25B4">
              <w:t>палення, в</w:t>
            </w:r>
            <w:r w:rsidR="00552E04">
              <w:t xml:space="preserve">одопостачання та </w:t>
            </w:r>
            <w:r w:rsidR="00F618D3" w:rsidRPr="00F0116C">
              <w:t xml:space="preserve">водовідведення </w:t>
            </w:r>
            <w:r w:rsidR="008C25B4">
              <w:t>нема</w:t>
            </w:r>
            <w:r w:rsidR="00C15DE5">
              <w:t>є</w:t>
            </w:r>
            <w:r w:rsidR="00552E04">
              <w:t>.</w:t>
            </w:r>
          </w:p>
          <w:p w:rsidR="00853680" w:rsidRPr="00247C52" w:rsidRDefault="00853680" w:rsidP="00C15DE5">
            <w:pPr>
              <w:pStyle w:val="a8"/>
              <w:ind w:firstLine="567"/>
            </w:pPr>
            <w:bookmarkStart w:id="2" w:name="_Hlk6389391"/>
            <w:bookmarkEnd w:id="1"/>
            <w:r w:rsidRPr="00247C52">
              <w:t xml:space="preserve">Право власності зареєстровано </w:t>
            </w:r>
            <w:r w:rsidR="007910B8">
              <w:t>27.07</w:t>
            </w:r>
            <w:r w:rsidR="00C15DE5">
              <w:t>.201</w:t>
            </w:r>
            <w:r w:rsidR="00E768D4">
              <w:t>9</w:t>
            </w:r>
            <w:r w:rsidRPr="00247C52">
              <w:t xml:space="preserve">, реєстраційний номер </w:t>
            </w:r>
            <w:r w:rsidR="00E768D4">
              <w:t>188</w:t>
            </w:r>
            <w:r w:rsidR="007910B8">
              <w:t>33811</w:t>
            </w:r>
            <w:r w:rsidR="00247C52">
              <w:t>63101</w:t>
            </w:r>
            <w:r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E93F91" w:rsidRDefault="00833EBF" w:rsidP="00833EB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Замніус Марина Василівна, контактний телефон +38(057)725 25 29, адреса електронної пошти </w:t>
            </w:r>
            <w:hyperlink r:id="rId7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технічн</w:t>
            </w:r>
            <w:r w:rsidR="005B37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паспорт, виготовлен</w:t>
            </w:r>
            <w:r w:rsidR="005B37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5B37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0446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B85E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5B37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5B37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01313"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A007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  <w:r w:rsidR="00D01313"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="00A007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11</w:t>
            </w:r>
            <w:r w:rsidR="001D11D6"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A007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чотирнадцяте листопада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дев</w:t>
            </w:r>
            <w:r w:rsidR="001D11D6" w:rsidRP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bookmarkStart w:id="3" w:name="_Hlk6389414"/>
            <w:r w:rsidR="00A72365">
              <w:rPr>
                <w:color w:val="000000"/>
                <w:lang w:val="ru-RU"/>
              </w:rPr>
              <w:t>2</w:t>
            </w:r>
            <w:r w:rsidR="002D0225">
              <w:rPr>
                <w:color w:val="000000"/>
                <w:lang w:val="ru-RU"/>
              </w:rPr>
              <w:t>85</w:t>
            </w:r>
            <w:r w:rsidR="00F834D5">
              <w:rPr>
                <w:color w:val="000000"/>
                <w:lang w:val="ru-RU"/>
              </w:rPr>
              <w:t> </w:t>
            </w:r>
            <w:r w:rsidR="002D0225">
              <w:rPr>
                <w:color w:val="000000"/>
                <w:lang w:val="ru-RU"/>
              </w:rPr>
              <w:t>405</w:t>
            </w:r>
            <w:r w:rsidRPr="0011513F">
              <w:rPr>
                <w:color w:val="000000"/>
              </w:rPr>
              <w:t>,00</w:t>
            </w:r>
            <w:r w:rsidRPr="00492382">
              <w:rPr>
                <w:color w:val="000000"/>
              </w:rPr>
              <w:t xml:space="preserve"> </w:t>
            </w:r>
            <w:bookmarkEnd w:id="3"/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833EBF">
              <w:rPr>
                <w:color w:val="000000"/>
                <w:lang w:val="ru-RU"/>
              </w:rPr>
              <w:t>1</w:t>
            </w:r>
            <w:r w:rsidR="002D0225">
              <w:rPr>
                <w:color w:val="000000"/>
                <w:lang w:val="ru-RU"/>
              </w:rPr>
              <w:t>42</w:t>
            </w:r>
            <w:r w:rsidR="00FA1A01">
              <w:rPr>
                <w:color w:val="000000"/>
                <w:lang w:val="ru-RU"/>
              </w:rPr>
              <w:t> </w:t>
            </w:r>
            <w:r w:rsidR="002D0225">
              <w:rPr>
                <w:color w:val="000000"/>
                <w:lang w:val="ru-RU"/>
              </w:rPr>
              <w:t>702</w:t>
            </w:r>
            <w:r w:rsidR="00FA1A01">
              <w:rPr>
                <w:color w:val="000000"/>
                <w:lang w:val="ru-RU"/>
              </w:rPr>
              <w:t>,50</w:t>
            </w:r>
            <w:r w:rsidRPr="00492382">
              <w:rPr>
                <w:color w:val="000000"/>
              </w:rPr>
              <w:t xml:space="preserve"> 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2D0225">
              <w:rPr>
                <w:color w:val="000000"/>
                <w:lang w:val="ru-RU"/>
              </w:rPr>
              <w:t>142 702,50</w:t>
            </w:r>
            <w:r w:rsidR="002D0225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8802F2">
              <w:t>2</w:t>
            </w:r>
            <w:r w:rsidR="002D0225">
              <w:t>8</w:t>
            </w:r>
            <w:r w:rsidR="008802F2">
              <w:rPr>
                <w:color w:val="000000"/>
                <w:lang w:val="ru-RU"/>
              </w:rPr>
              <w:t> </w:t>
            </w:r>
            <w:r w:rsidR="002D0225">
              <w:rPr>
                <w:color w:val="000000"/>
                <w:lang w:val="ru-RU"/>
              </w:rPr>
              <w:t>540</w:t>
            </w:r>
            <w:r w:rsidR="008802F2">
              <w:rPr>
                <w:color w:val="000000"/>
                <w:lang w:val="ru-RU"/>
              </w:rPr>
              <w:t>,</w:t>
            </w:r>
            <w:r w:rsidR="002D0225">
              <w:rPr>
                <w:color w:val="000000"/>
                <w:lang w:val="ru-RU"/>
              </w:rPr>
              <w:t>5</w:t>
            </w:r>
            <w:r w:rsidR="008802F2">
              <w:rPr>
                <w:color w:val="000000"/>
                <w:lang w:val="ru-RU"/>
              </w:rPr>
              <w:t xml:space="preserve">0 </w:t>
            </w:r>
            <w:r w:rsidRPr="0011513F">
              <w:t xml:space="preserve"> 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8802F2">
              <w:t xml:space="preserve"> </w:t>
            </w:r>
            <w:r w:rsidR="008802F2">
              <w:rPr>
                <w:color w:val="000000"/>
                <w:lang w:val="ru-RU"/>
              </w:rPr>
              <w:t>1</w:t>
            </w:r>
            <w:r w:rsidR="002D0225">
              <w:rPr>
                <w:color w:val="000000"/>
                <w:lang w:val="ru-RU"/>
              </w:rPr>
              <w:t>4</w:t>
            </w:r>
            <w:r w:rsidR="008802F2">
              <w:rPr>
                <w:color w:val="000000"/>
                <w:lang w:val="ru-RU"/>
              </w:rPr>
              <w:t> </w:t>
            </w:r>
            <w:r w:rsidR="002D0225">
              <w:rPr>
                <w:color w:val="000000"/>
                <w:lang w:val="ru-RU"/>
              </w:rPr>
              <w:t>270</w:t>
            </w:r>
            <w:r w:rsidR="008802F2">
              <w:rPr>
                <w:color w:val="000000"/>
                <w:lang w:val="ru-RU"/>
              </w:rPr>
              <w:t>,</w:t>
            </w:r>
            <w:r w:rsidR="002D0225">
              <w:rPr>
                <w:color w:val="000000"/>
                <w:lang w:val="ru-RU"/>
              </w:rPr>
              <w:t>2</w:t>
            </w:r>
            <w:r w:rsidR="008802F2">
              <w:rPr>
                <w:color w:val="000000"/>
                <w:lang w:val="ru-RU"/>
              </w:rPr>
              <w:t xml:space="preserve">5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2D0225">
              <w:rPr>
                <w:color w:val="000000"/>
                <w:lang w:val="ru-RU"/>
              </w:rPr>
              <w:t xml:space="preserve">14 270,25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833EBF">
        <w:trPr>
          <w:cantSplit/>
          <w:trHeight w:val="1175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833EBF">
        <w:trPr>
          <w:cantSplit/>
          <w:trHeight w:val="2122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n102"/>
            <w:bookmarkEnd w:id="4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247C52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A57833" w:rsidRPr="00A57833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</w:t>
            </w: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ля перерахування електронним майданчиком реєстраційних внесків учасників аукціону</w:t>
            </w:r>
          </w:p>
          <w:p w:rsidR="00F60167" w:rsidRDefault="00F60167" w:rsidP="00401A5C">
            <w:pPr>
              <w:pStyle w:val="a8"/>
              <w:ind w:firstLine="0"/>
            </w:pPr>
            <w:r>
              <w:t>Одержувач – УДСКУ у м. Харкові Харківської області</w:t>
            </w:r>
          </w:p>
          <w:p w:rsidR="00F60167" w:rsidRPr="00401A5C" w:rsidRDefault="00F60167" w:rsidP="00401A5C">
            <w:pPr>
              <w:pStyle w:val="a8"/>
              <w:ind w:firstLine="0"/>
            </w:pPr>
            <w:r>
              <w:t>Номер рахунку (</w:t>
            </w:r>
            <w:r w:rsidRPr="00401A5C">
              <w:t>IBAN</w:t>
            </w:r>
            <w:r w:rsidRPr="00311F79">
              <w:t>)</w:t>
            </w:r>
            <w:r>
              <w:t xml:space="preserve">: </w:t>
            </w:r>
            <w:r w:rsidRPr="00401A5C">
              <w:t xml:space="preserve"> UA458999980000031512905020002</w:t>
            </w:r>
          </w:p>
          <w:p w:rsidR="00F60167" w:rsidRDefault="00F60167" w:rsidP="00401A5C">
            <w:pPr>
              <w:pStyle w:val="a8"/>
              <w:ind w:firstLine="0"/>
            </w:pPr>
            <w:r>
              <w:t>Банк одержувача – Казначейство України (ЕАП)</w:t>
            </w:r>
          </w:p>
          <w:p w:rsidR="00F60167" w:rsidRDefault="00F60167" w:rsidP="00401A5C">
            <w:pPr>
              <w:pStyle w:val="a8"/>
              <w:ind w:firstLine="0"/>
            </w:pPr>
            <w:r>
              <w:t>Код ЄДРПОУ – 37999649</w:t>
            </w:r>
          </w:p>
          <w:p w:rsidR="00F60167" w:rsidRDefault="00F60167" w:rsidP="00401A5C">
            <w:pPr>
              <w:pStyle w:val="a8"/>
              <w:ind w:firstLine="0"/>
            </w:pPr>
            <w:r>
              <w:t>Код класифікації доходів бюджету – 31030000.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одержувача: Держказначейська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A57833" w:rsidRPr="00A57833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Держказначейська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BD7C54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BD7C54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_Hlk21530814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</w:t>
            </w:r>
            <w:bookmarkStart w:id="6" w:name="_Hlk21530731"/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Департаменту економіки та комунального майна Харківської міської ради</w:t>
            </w:r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код за ЄДРПОУ 14095412, адреса: 61003, м. Харків, майдан Конституції, буд.16; тел. (057)725-25-29; часи роботи: Пн-Чт з 9-00 до 18-00, Пт з 9-00 до 16-45. Контактна особа: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BD7C54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F60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 </w:t>
            </w:r>
            <w:r w:rsidR="00BD7C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358</w:t>
            </w:r>
            <w:bookmarkStart w:id="7" w:name="_GoBack"/>
            <w:bookmarkEnd w:id="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8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 w:rsidR="00F60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60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FC2B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F601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засідання аукціонної комісії </w:t>
            </w:r>
            <w:bookmarkEnd w:id="8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умовами на підставі рішення 2</w:t>
            </w:r>
            <w:r w:rsidR="00EA46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ської ради 7 скликання від </w:t>
            </w:r>
            <w:r w:rsidR="00EA46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 №1</w:t>
            </w:r>
            <w:r w:rsidR="00EA46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713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61784F" w:rsidP="00CF7C2A">
            <w:pPr>
              <w:pStyle w:val="a8"/>
              <w:ind w:firstLine="0"/>
              <w:rPr>
                <w:color w:val="000000"/>
              </w:rPr>
            </w:pPr>
            <w:r w:rsidRPr="0061784F">
              <w:rPr>
                <w:color w:val="000000"/>
              </w:rPr>
              <w:t>UA-AR-P-2019-08-21-000011-3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– </w:t>
            </w:r>
            <w:bookmarkStart w:id="9" w:name="_Hlk6389604"/>
            <w:r w:rsidR="00BE62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2 </w:t>
            </w:r>
            <w:r w:rsidR="00C478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854</w:t>
            </w:r>
            <w:r w:rsidR="00BE62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C478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10" w:name="_Hlk6389625"/>
            <w:r>
              <w:rPr>
                <w:color w:val="000000"/>
              </w:rPr>
              <w:t xml:space="preserve"> </w:t>
            </w:r>
            <w:bookmarkStart w:id="11" w:name="_Hlk21530646"/>
            <w:r w:rsidR="00BE62D6">
              <w:rPr>
                <w:color w:val="000000"/>
                <w:lang w:val="ru-RU"/>
              </w:rPr>
              <w:t>1 </w:t>
            </w:r>
            <w:r w:rsidR="00C47874">
              <w:rPr>
                <w:color w:val="000000"/>
                <w:lang w:val="ru-RU"/>
              </w:rPr>
              <w:t>427</w:t>
            </w:r>
            <w:r w:rsidR="00BE62D6">
              <w:rPr>
                <w:color w:val="000000"/>
                <w:lang w:val="ru-RU"/>
              </w:rPr>
              <w:t>,0</w:t>
            </w:r>
            <w:r w:rsidR="00C47874">
              <w:rPr>
                <w:color w:val="000000"/>
                <w:lang w:val="ru-RU"/>
              </w:rPr>
              <w:t>3</w:t>
            </w:r>
            <w:r w:rsidRPr="00492382">
              <w:rPr>
                <w:color w:val="000000"/>
              </w:rPr>
              <w:t xml:space="preserve"> </w:t>
            </w:r>
            <w:bookmarkEnd w:id="10"/>
            <w:bookmarkEnd w:id="11"/>
            <w:r w:rsidRPr="00492382">
              <w:rPr>
                <w:color w:val="000000"/>
              </w:rPr>
              <w:t>грн.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C47874">
              <w:rPr>
                <w:color w:val="000000"/>
                <w:lang w:val="ru-RU"/>
              </w:rPr>
              <w:t>1 427,03</w:t>
            </w:r>
            <w:r w:rsidR="00C47874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AC3E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492382" w:rsidRDefault="00E411EC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751D3A" w:rsidRPr="00BD7C54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BD7C54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751D3A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</w:t>
            </w:r>
            <w:r w:rsidR="00C03F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53680" w:rsidRPr="002203DA" w:rsidSect="00EE240E">
      <w:headerReference w:type="default" r:id="rId11"/>
      <w:headerReference w:type="first" r:id="rId12"/>
      <w:footerReference w:type="first" r:id="rId13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AC" w:rsidRDefault="00264CAC" w:rsidP="00C3342C">
      <w:pPr>
        <w:spacing w:after="0" w:line="240" w:lineRule="auto"/>
      </w:pPr>
      <w:r>
        <w:separator/>
      </w:r>
    </w:p>
  </w:endnote>
  <w:end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BF" w:rsidRDefault="00833EBF">
    <w:pPr>
      <w:pStyle w:val="ac"/>
      <w:jc w:val="right"/>
    </w:pPr>
  </w:p>
  <w:p w:rsidR="00833EBF" w:rsidRDefault="00833E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AC" w:rsidRDefault="00264CAC" w:rsidP="00C3342C">
      <w:pPr>
        <w:spacing w:after="0" w:line="240" w:lineRule="auto"/>
      </w:pPr>
      <w:r>
        <w:separator/>
      </w:r>
    </w:p>
  </w:footnote>
  <w:foot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EE240E" w:rsidRDefault="00EE24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0E" w:rsidRDefault="00EE240E">
    <w:pPr>
      <w:pStyle w:val="aa"/>
      <w:jc w:val="right"/>
    </w:pPr>
  </w:p>
  <w:p w:rsidR="00EE240E" w:rsidRDefault="00EE24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15CA0"/>
    <w:rsid w:val="00017AD5"/>
    <w:rsid w:val="00025DAD"/>
    <w:rsid w:val="00030BC3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D23F7"/>
    <w:rsid w:val="000D744A"/>
    <w:rsid w:val="000D770A"/>
    <w:rsid w:val="000E699D"/>
    <w:rsid w:val="000E7A1D"/>
    <w:rsid w:val="000F20AE"/>
    <w:rsid w:val="001068FD"/>
    <w:rsid w:val="00111EFD"/>
    <w:rsid w:val="0011513F"/>
    <w:rsid w:val="00115D24"/>
    <w:rsid w:val="0013483D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A4A69"/>
    <w:rsid w:val="001D11D6"/>
    <w:rsid w:val="001D3FF8"/>
    <w:rsid w:val="001D4328"/>
    <w:rsid w:val="001F23D7"/>
    <w:rsid w:val="001F4D84"/>
    <w:rsid w:val="00217759"/>
    <w:rsid w:val="002203DA"/>
    <w:rsid w:val="002362C9"/>
    <w:rsid w:val="00247C52"/>
    <w:rsid w:val="00252380"/>
    <w:rsid w:val="00256AF6"/>
    <w:rsid w:val="00264CAC"/>
    <w:rsid w:val="0026581E"/>
    <w:rsid w:val="00274CFC"/>
    <w:rsid w:val="0028662B"/>
    <w:rsid w:val="00291F1A"/>
    <w:rsid w:val="00294DB4"/>
    <w:rsid w:val="002A2A4D"/>
    <w:rsid w:val="002A5264"/>
    <w:rsid w:val="002B5A40"/>
    <w:rsid w:val="002C64D7"/>
    <w:rsid w:val="002C7EBA"/>
    <w:rsid w:val="002D0225"/>
    <w:rsid w:val="002D68C0"/>
    <w:rsid w:val="002E2957"/>
    <w:rsid w:val="002E6EB9"/>
    <w:rsid w:val="002F17C0"/>
    <w:rsid w:val="002F6C1E"/>
    <w:rsid w:val="0031437B"/>
    <w:rsid w:val="003274B1"/>
    <w:rsid w:val="0033613F"/>
    <w:rsid w:val="0033626D"/>
    <w:rsid w:val="00337B9B"/>
    <w:rsid w:val="003409A6"/>
    <w:rsid w:val="00340FBE"/>
    <w:rsid w:val="00347F15"/>
    <w:rsid w:val="00371584"/>
    <w:rsid w:val="003723E2"/>
    <w:rsid w:val="003801D6"/>
    <w:rsid w:val="0039015E"/>
    <w:rsid w:val="003A598E"/>
    <w:rsid w:val="003B02F3"/>
    <w:rsid w:val="003C074D"/>
    <w:rsid w:val="003C6179"/>
    <w:rsid w:val="003D441E"/>
    <w:rsid w:val="003F5E94"/>
    <w:rsid w:val="003F7EDA"/>
    <w:rsid w:val="00401A5C"/>
    <w:rsid w:val="00430E3A"/>
    <w:rsid w:val="004350E7"/>
    <w:rsid w:val="00444BA5"/>
    <w:rsid w:val="00455D31"/>
    <w:rsid w:val="00492382"/>
    <w:rsid w:val="00493748"/>
    <w:rsid w:val="004A13C1"/>
    <w:rsid w:val="004B34A9"/>
    <w:rsid w:val="004B4984"/>
    <w:rsid w:val="004C5E4B"/>
    <w:rsid w:val="004D6DF4"/>
    <w:rsid w:val="004D734C"/>
    <w:rsid w:val="004E4CD5"/>
    <w:rsid w:val="004F112D"/>
    <w:rsid w:val="004F2B51"/>
    <w:rsid w:val="0050780F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90DC2"/>
    <w:rsid w:val="005B37F1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1784F"/>
    <w:rsid w:val="00617DB8"/>
    <w:rsid w:val="00624DBD"/>
    <w:rsid w:val="00670CC6"/>
    <w:rsid w:val="00674896"/>
    <w:rsid w:val="006904F0"/>
    <w:rsid w:val="006C0382"/>
    <w:rsid w:val="006C3E47"/>
    <w:rsid w:val="006C4924"/>
    <w:rsid w:val="006E605D"/>
    <w:rsid w:val="00704D38"/>
    <w:rsid w:val="00734282"/>
    <w:rsid w:val="00743EE7"/>
    <w:rsid w:val="00744CE6"/>
    <w:rsid w:val="00751408"/>
    <w:rsid w:val="00751D3A"/>
    <w:rsid w:val="0077215D"/>
    <w:rsid w:val="007741C3"/>
    <w:rsid w:val="00776EA9"/>
    <w:rsid w:val="00780DEC"/>
    <w:rsid w:val="007910B8"/>
    <w:rsid w:val="00792728"/>
    <w:rsid w:val="00793A64"/>
    <w:rsid w:val="007A5327"/>
    <w:rsid w:val="007B74C0"/>
    <w:rsid w:val="007D3812"/>
    <w:rsid w:val="007D4377"/>
    <w:rsid w:val="007F5976"/>
    <w:rsid w:val="007F77D5"/>
    <w:rsid w:val="00800975"/>
    <w:rsid w:val="008042F1"/>
    <w:rsid w:val="008105BF"/>
    <w:rsid w:val="008176E2"/>
    <w:rsid w:val="00833EBF"/>
    <w:rsid w:val="008400A0"/>
    <w:rsid w:val="00840765"/>
    <w:rsid w:val="008452BB"/>
    <w:rsid w:val="00853680"/>
    <w:rsid w:val="008802F2"/>
    <w:rsid w:val="00896087"/>
    <w:rsid w:val="008A020E"/>
    <w:rsid w:val="008B5A09"/>
    <w:rsid w:val="008C25B4"/>
    <w:rsid w:val="008E15B9"/>
    <w:rsid w:val="008E7665"/>
    <w:rsid w:val="0091763C"/>
    <w:rsid w:val="00924B8B"/>
    <w:rsid w:val="00934122"/>
    <w:rsid w:val="00942C71"/>
    <w:rsid w:val="00961893"/>
    <w:rsid w:val="00977ACA"/>
    <w:rsid w:val="009855E7"/>
    <w:rsid w:val="009A48BF"/>
    <w:rsid w:val="009A7870"/>
    <w:rsid w:val="009C6F6F"/>
    <w:rsid w:val="009C7F0E"/>
    <w:rsid w:val="00A0072E"/>
    <w:rsid w:val="00A00A68"/>
    <w:rsid w:val="00A07903"/>
    <w:rsid w:val="00A102DA"/>
    <w:rsid w:val="00A244D4"/>
    <w:rsid w:val="00A4447F"/>
    <w:rsid w:val="00A51BBA"/>
    <w:rsid w:val="00A524AB"/>
    <w:rsid w:val="00A5265A"/>
    <w:rsid w:val="00A53472"/>
    <w:rsid w:val="00A57833"/>
    <w:rsid w:val="00A63477"/>
    <w:rsid w:val="00A72365"/>
    <w:rsid w:val="00A97416"/>
    <w:rsid w:val="00AA534E"/>
    <w:rsid w:val="00AB542B"/>
    <w:rsid w:val="00AB5D6E"/>
    <w:rsid w:val="00AC2856"/>
    <w:rsid w:val="00AC3ED8"/>
    <w:rsid w:val="00AC7476"/>
    <w:rsid w:val="00AD7957"/>
    <w:rsid w:val="00AE5B08"/>
    <w:rsid w:val="00AF5CAD"/>
    <w:rsid w:val="00B1330B"/>
    <w:rsid w:val="00B271EF"/>
    <w:rsid w:val="00B33814"/>
    <w:rsid w:val="00B41FB0"/>
    <w:rsid w:val="00B8447A"/>
    <w:rsid w:val="00B85ECC"/>
    <w:rsid w:val="00B91B59"/>
    <w:rsid w:val="00B9302B"/>
    <w:rsid w:val="00BA0AC1"/>
    <w:rsid w:val="00BA719B"/>
    <w:rsid w:val="00BD7C54"/>
    <w:rsid w:val="00BE62D6"/>
    <w:rsid w:val="00BE67A4"/>
    <w:rsid w:val="00BF1AC9"/>
    <w:rsid w:val="00BF3EAF"/>
    <w:rsid w:val="00C03F6F"/>
    <w:rsid w:val="00C06F01"/>
    <w:rsid w:val="00C10000"/>
    <w:rsid w:val="00C13393"/>
    <w:rsid w:val="00C15DE5"/>
    <w:rsid w:val="00C16F66"/>
    <w:rsid w:val="00C31534"/>
    <w:rsid w:val="00C3342C"/>
    <w:rsid w:val="00C428E4"/>
    <w:rsid w:val="00C47874"/>
    <w:rsid w:val="00C51A49"/>
    <w:rsid w:val="00C53F08"/>
    <w:rsid w:val="00C57C64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80E"/>
    <w:rsid w:val="00D57A26"/>
    <w:rsid w:val="00D6428E"/>
    <w:rsid w:val="00D75D33"/>
    <w:rsid w:val="00D804B4"/>
    <w:rsid w:val="00D90D25"/>
    <w:rsid w:val="00DD5655"/>
    <w:rsid w:val="00DE6598"/>
    <w:rsid w:val="00DF3D23"/>
    <w:rsid w:val="00DF6238"/>
    <w:rsid w:val="00E0497C"/>
    <w:rsid w:val="00E130E8"/>
    <w:rsid w:val="00E411EC"/>
    <w:rsid w:val="00E511D7"/>
    <w:rsid w:val="00E603FA"/>
    <w:rsid w:val="00E65B31"/>
    <w:rsid w:val="00E72116"/>
    <w:rsid w:val="00E768D4"/>
    <w:rsid w:val="00E82434"/>
    <w:rsid w:val="00E85829"/>
    <w:rsid w:val="00E90D8B"/>
    <w:rsid w:val="00EA14D2"/>
    <w:rsid w:val="00EA4696"/>
    <w:rsid w:val="00EE240E"/>
    <w:rsid w:val="00EF1EFF"/>
    <w:rsid w:val="00F0116C"/>
    <w:rsid w:val="00F04ADB"/>
    <w:rsid w:val="00F43B1D"/>
    <w:rsid w:val="00F46721"/>
    <w:rsid w:val="00F574D2"/>
    <w:rsid w:val="00F6004A"/>
    <w:rsid w:val="00F60167"/>
    <w:rsid w:val="00F618D3"/>
    <w:rsid w:val="00F62B0E"/>
    <w:rsid w:val="00F71C12"/>
    <w:rsid w:val="00F7520D"/>
    <w:rsid w:val="00F82326"/>
    <w:rsid w:val="00F834D5"/>
    <w:rsid w:val="00F92A50"/>
    <w:rsid w:val="00F96ACA"/>
    <w:rsid w:val="00FA1A01"/>
    <w:rsid w:val="00FB22FB"/>
    <w:rsid w:val="00FB6B8B"/>
    <w:rsid w:val="00FC0137"/>
    <w:rsid w:val="00FC2B76"/>
    <w:rsid w:val="00FD121D"/>
    <w:rsid w:val="00FD7C3F"/>
    <w:rsid w:val="00FF0FEA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79E7496"/>
  <w15:docId w15:val="{BAC0F70B-EC68-43ED-AB8C-4A23AD86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1144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9</cp:revision>
  <cp:lastPrinted>2019-10-11T09:40:00Z</cp:lastPrinted>
  <dcterms:created xsi:type="dcterms:W3CDTF">2019-10-09T13:06:00Z</dcterms:created>
  <dcterms:modified xsi:type="dcterms:W3CDTF">2019-10-16T08:07:00Z</dcterms:modified>
</cp:coreProperties>
</file>