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Оголошення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для проведення продажу через систему електронних аукціонів.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Інформацію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Найменування організатор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Державне підприємство Науково-виробничий комплекс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Фотоприлад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згідно з ЄДРПОУ організатора: 14312329 </w:t>
      </w:r>
    </w:p>
    <w:p>
      <w:pPr>
        <w:spacing w:before="0" w:after="0" w:line="240"/>
        <w:ind w:right="-5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Юридична адреса організатора: 18001, м. Черкаси, вул. Б. Вишневецького, 85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Поштова адреса організатора: 18001, м. Черкаси, вул. Б. Вишневецького, 85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Контактна особа організатора, уповноважена здійснювати зв’язок з учасниками: Кучерук Роман Олександрович, 050-385-17-16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оформлення участі в електронних торгах, перелік документів які </w:t>
        <w:tab/>
        <w:t xml:space="preserve">надаються учасниками та вимоги до їх оформлення.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Перелік документів які надаються учасниками та вимоги до їх оформлення визначений в Додатку №1.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Відомості про майно/право, його склад, характеристики, опис за родовими </w:t>
        <w:tab/>
        <w:t xml:space="preserve">чи </w:t>
        <w:tab/>
        <w:t xml:space="preserve">індивідуальними ознаками: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Брухт сталевий негабаритний великоваговий  відноситься до виду 509 ДСТУ 4121 – 2002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Металобрухт від списання обладнання. В брухті в незначній кількості присутні: обрізки металів, сліди мастильно-охолоджувальних рідин (МОР) та нешкідливі домішки.  Брухт зберігається під накриттям, на території виробничих приміщень. </w:t>
      </w:r>
    </w:p>
    <w:p>
      <w:pPr>
        <w:tabs>
          <w:tab w:val="left" w:pos="851" w:leader="none"/>
          <w:tab w:val="left" w:pos="90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Поставка Товару здійснюється за рахунок та автомобільним транспортом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Покупця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Навантаження, зважування Товару здійснюється за рахунок Постачальника, засміченість враховується при продажі (засміченість зазначена в п.3.1.).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Приймання Товару по кількості (за вагою брутто) проводиться представниками Покупця і Постачальника на складі Постачальника, шляхом зважування на технічних засобах Постачальника.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Місцезнаходження майна, його фотографічні зображення (за наявності):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Фактичне знаходження майна: 18001, м. Черкаси, вул. Корольова, 23 та м. Черкаси, вул.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Байди Вишневецького, 85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Початкова ціна реалізації майна (активів)/права: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Початкова вартість на реалізацію загальної ваги брухту і відходів  чорних металів складає: 72000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сімдесят дві тис.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гривень) без ПДВ, а саме: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Брухт сталевий негабаритний великоваговий (виду 509 за ДСТУ 4121 – 2002)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585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грн./тн. Вагою 100 тонн, вартість 458 500 грн.;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Увага!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Остаточна вага реалізованого брухту буде зазначена в Специфікації - додатку до договору за наслідками фактичного відвантаження та відсотка засміченості. Загальна вага брухту, що реалізується не більше 100 тонн. Фактична вага може бути меншою.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Істотні умови купівлі-продажу майна (активів)/передачі права або проект відповідного договору купівлі-продажу майна (активів)/передачі права: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договору - окремий файл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Крок електронного аукціону: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стартової ціни реалізації.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Розмір гарантійного внеску: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стартової ціни реалізації.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потенційними покупцями/набувачами права: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Визначені в Додатку №1.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Переможець оплачує усі витрати, пов’язані з пересилкою документів  через кур’єрську службу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 пошта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ін.).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результатами здійснення продажу укладається договір з обов’язковим включенням до нього істотних умов.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ДОДАТОК 1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ТЕХНІЧНІ ВИМОГИ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продаж: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Брухт сталевий негабаритний великоваговий (вид 500 за ДСТУ 4121:2002) вагою 100 (сто) тонн;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Остаточна вага реалізованого брухту буде зазначена в Специфікації - додатку до договору за наслідками фактичного відвантаження та відсотка засміченості. Загальна вага брухту, що реалізується - не більше 100 тонн. Фактична вага може бути меншою.</w:t>
      </w:r>
    </w:p>
    <w:p>
      <w:pPr>
        <w:tabs>
          <w:tab w:val="left" w:pos="851" w:leader="none"/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Реалізація брухту на умовах EXW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, відповідно до офіційних правил тлумачення торговельних термінів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«INCOTERMS»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 редакції 2010 року.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Поставка Товару здійснюється за рахунок та автомобільним транспортом Покупця.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Навантаження, зважування Товару здійснюється за рахунок Постачальника, при продажі враховується засміченість (засміченість: для брухту сталевого негабаритного великовагового – 5%). Приймання Товару по кількості (за вагою брутто) проводиться представниками Покупця і Постачальника на складі Постачальника, шляхом зважування на технічних засобах Постачальника.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Протягом одного робочого дня після закінчення електронного аукціону, учасник (переможець торгів), який за результатами аукціону надав цінову пропозицію з найвищою вартістю, повинен підтвердити вартість своєї цінової пропозиції. Форма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подана в Додатку № 1.</w:t>
      </w:r>
    </w:p>
    <w:p>
      <w:pPr>
        <w:spacing w:before="0" w:after="6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Пропозиції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 технічним вимогам замовника.</w:t>
      </w:r>
    </w:p>
    <w:p>
      <w:pPr>
        <w:spacing w:before="0" w:after="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>
      <w:pPr>
        <w:spacing w:before="0" w:after="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Договір між Замовником та Переможцем може бути підписаний на суму, яка є меншою/більшою за ціну останньої цінової пропозиції, поданої Переможцем в Аукціоні, з відповідним коригуванням вартості договору до фактичного обсягу відвантаженого брухту, однак не нижче за ціною (в гривні за тонну), що перемогла на аукціоні.</w:t>
      </w:r>
    </w:p>
    <w:p>
      <w:pPr>
        <w:spacing w:before="0" w:after="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роз’ясненнями та з запитаннями стосовно вимог зазначених в цих технічних вимогах звертатися до контактної особи організатора, уповноваженої здійснювати зв’язок з учасниками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Таблиця 1</w:t>
      </w:r>
    </w:p>
    <w:tbl>
      <w:tblPr/>
      <w:tblGrid>
        <w:gridCol w:w="539"/>
        <w:gridCol w:w="4819"/>
        <w:gridCol w:w="1276"/>
        <w:gridCol w:w="1559"/>
        <w:gridCol w:w="1272"/>
      </w:tblGrid>
      <w:tr>
        <w:trPr>
          <w:trHeight w:val="1" w:hRule="atLeast"/>
          <w:jc w:val="left"/>
        </w:trPr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Найменування товару для реалізації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Одиниця виміру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Орієнтовна кількість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Ціна без ПДВ за тонну, грн.</w:t>
            </w:r>
          </w:p>
        </w:tc>
      </w:tr>
      <w:tr>
        <w:trPr>
          <w:trHeight w:val="290" w:hRule="auto"/>
          <w:jc w:val="left"/>
        </w:trPr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Брухт сталевий негабаритний  (вид 509 за ДСТУ 4121:2002)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тн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3600</w:t>
            </w:r>
          </w:p>
        </w:tc>
      </w:tr>
    </w:tbl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Таблиця 2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товару, що підлягає реалізації: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09"/>
        <w:gridCol w:w="7797"/>
      </w:tblGrid>
      <w:tr>
        <w:trPr>
          <w:trHeight w:val="255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Власник</w:t>
            </w:r>
          </w:p>
        </w:tc>
        <w:tc>
          <w:tcPr>
            <w:tcW w:w="7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Державне підприємство Науково-виробничий комплекс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Фотоприлад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824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 товару</w:t>
            </w:r>
          </w:p>
        </w:tc>
        <w:tc>
          <w:tcPr>
            <w:tcW w:w="7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Брухт сталевий негабаритний  (вид 509 за ДСТУ 4121:2002) – 20 тонн (Брухт зберігається під накриттям, на території виробничих приміщень);</w:t>
            </w:r>
          </w:p>
        </w:tc>
      </w:tr>
      <w:tr>
        <w:trPr>
          <w:trHeight w:val="1110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 знаходження та передачі товару</w:t>
            </w:r>
          </w:p>
        </w:tc>
        <w:tc>
          <w:tcPr>
            <w:tcW w:w="7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18001,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Черкаси, вул. Корольова, 23 та м. Черкаси, вул.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Байди Вишневецького, 85</w:t>
            </w:r>
          </w:p>
        </w:tc>
      </w:tr>
      <w:tr>
        <w:trPr>
          <w:trHeight w:val="852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Порядок оплати товару</w:t>
            </w:r>
          </w:p>
        </w:tc>
        <w:tc>
          <w:tcPr>
            <w:tcW w:w="7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Покупець здійснює попередню оплату Товару у розмірі 100% ціни договору протягом 5 (п’яти) банківських днів з дати виставлення рахунку (рахунки-фактури) на попередню оплату Продавцем.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Після відвантаження Товару, Продавець та Покупець узгоджують фактичний обсяг його реалізації та проводять остаточні взаєморозрахунки.</w:t>
            </w:r>
          </w:p>
        </w:tc>
      </w:tr>
      <w:tr>
        <w:trPr>
          <w:trHeight w:val="1130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 передачі товару  у власність Покупця</w:t>
            </w:r>
          </w:p>
        </w:tc>
        <w:tc>
          <w:tcPr>
            <w:tcW w:w="7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51" w:leader="none"/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Покупець зобов’язується здійснити прийняття всієї кількості Товару протягом 5 (п’яти) календарних днів з дати попередньої оплаті рахунку (рахунка-фактури).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У випадку, якщо Товар, зазначений у Специфікації №1 не може бути відвантажений за один раз, то допускається відвантаження Товару декількома партіями. При цьому Покупець зобов’язаний вивезти партії Товару, у строк, що не перевищує 30 календарних днів.</w:t>
            </w:r>
          </w:p>
        </w:tc>
      </w:tr>
      <w:tr>
        <w:trPr>
          <w:trHeight w:val="713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Фотографічні зображення товару</w:t>
            </w:r>
          </w:p>
        </w:tc>
        <w:tc>
          <w:tcPr>
            <w:tcW w:w="7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додаються окремими файлами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КВАЛІФІКАЦІЙНІ КРИТЕРІЇ, ВИМОГИ ТА ДОКУМЕНТИ, ЯКІ ВИМАГАЮТЬСЯ ДЛЯ ПІДТВЕРДЖЕННЯ ВІДПОВІДНОСТІ ПРОПОЗИЦІЇ УЧАСНИКА КВАЛІФІКАЦІЙНИМ КРИТЕРІЯМ ТА ВИМОГАМ ЗАМОВНИКА ТОРГІВ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Документи, які повинен надати Учасник в сканованому вигляді  в складі своєї пропозиції для підтвердження свого права на участь у процедурі торгів у відповідності до встановленого Порядку, для підтвердження відсутності підстав відхилення пропозиції.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УВАГА! Зазначені документі з п.1 – п.3 завантажуються (скановані копії) учасниками тендеру разом із ціновими пропозиціями через ЕТС   </w:t>
      </w:r>
    </w:p>
    <w:p>
      <w:pPr>
        <w:numPr>
          <w:ilvl w:val="0"/>
          <w:numId w:val="81"/>
        </w:numPr>
        <w:spacing w:before="100" w:after="100" w:line="240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Документи, які повинен подати Учасник для підтвердження того, що він здійснює господарську діяльність:</w:t>
      </w:r>
    </w:p>
    <w:p>
      <w:pPr>
        <w:spacing w:before="0" w:after="20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Копію Статуту або іншого установчого документу (для юридичних осіб) з усіма змінами та доповненнями.</w:t>
      </w:r>
    </w:p>
    <w:p>
      <w:pPr>
        <w:spacing w:before="0" w:after="20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Копію Витягу з Єдиного державного реєстру юридичних осіб та фізичних осіб – підприємців. При цьому,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видачі витягу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раніше ніж за 30 днів до  дати розкриття тендерних пропозицій відкритих торгів</w:t>
      </w:r>
    </w:p>
    <w:p>
      <w:pPr>
        <w:spacing w:before="0" w:after="20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Копія довідки про присвоєння ідентифікаційного коду (для фізичних осіб).</w:t>
      </w:r>
    </w:p>
    <w:p>
      <w:pPr>
        <w:spacing w:before="0" w:after="20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Копія паспорту (для фізичних осіб).</w:t>
      </w:r>
    </w:p>
    <w:p>
      <w:pPr>
        <w:numPr>
          <w:ilvl w:val="0"/>
          <w:numId w:val="83"/>
        </w:numPr>
        <w:suppressAutoHyphens w:val="true"/>
        <w:spacing w:before="0" w:after="0" w:line="263"/>
        <w:ind w:right="0" w:left="420" w:hanging="360"/>
        <w:jc w:val="left"/>
        <w:rPr>
          <w:rFonts w:ascii="Liberation Serif" w:hAnsi="Liberation Serif" w:cs="Liberation Serif" w:eastAsia="Liberation Serif"/>
          <w:b/>
          <w:color w:val="auto"/>
          <w:spacing w:val="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4"/>
          <w:shd w:fill="auto" w:val="clear"/>
        </w:rPr>
        <w:t xml:space="preserve">Перелік документів для перевірки  учасника (кваліфікаційні критерії)</w:t>
      </w:r>
    </w:p>
    <w:p>
      <w:pPr>
        <w:suppressAutoHyphens w:val="true"/>
        <w:spacing w:before="0" w:after="0" w:line="263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10"/>
          <w:position w:val="0"/>
          <w:sz w:val="24"/>
          <w:shd w:fill="auto" w:val="clear"/>
        </w:rPr>
      </w:pPr>
    </w:p>
    <w:p>
      <w:pPr>
        <w:tabs>
          <w:tab w:val="left" w:pos="314" w:leader="none"/>
        </w:tabs>
        <w:spacing w:before="0" w:after="0" w:line="263"/>
        <w:ind w:right="60" w:left="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Увага! п. 2.1; 2.3; 2.4 необхідні, якщо ціна лота складає понад 500 000 гривень.  </w:t>
      </w:r>
    </w:p>
    <w:p>
      <w:pPr>
        <w:tabs>
          <w:tab w:val="left" w:pos="314" w:leader="none"/>
        </w:tabs>
        <w:spacing w:before="0" w:after="0" w:line="263"/>
        <w:ind w:right="6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" w:leader="none"/>
        </w:tabs>
        <w:spacing w:before="0" w:after="0" w:line="240"/>
        <w:ind w:right="60" w:left="40" w:firstLine="5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Баланс (звіт про фінансовий стан, звіт про фінансові результати, за останній звітний період, податкова декларація платника єдиного податку (у разі, якщо учасник є фізична особа-підприємець), підтвердження про надання фінансового звіту до державних контролюючих органів (квитанція в електронному вигляді або відбиток штампа про отримання на декларації, фінансовому звіті).</w:t>
      </w:r>
    </w:p>
    <w:p>
      <w:pPr>
        <w:tabs>
          <w:tab w:val="left" w:pos="332" w:leader="none"/>
        </w:tabs>
        <w:spacing w:before="0" w:after="0" w:line="240"/>
        <w:ind w:right="60" w:left="40" w:firstLine="5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Ліцензії, дозволи тощо, потрібні для законності переробки брухту чорних і кольорових або дорогоцінних металів (у випадку, якщо діяльність підлягає ліцензуванню або потребує спеціального дозволу).</w:t>
      </w:r>
    </w:p>
    <w:p>
      <w:pPr>
        <w:tabs>
          <w:tab w:val="left" w:pos="335" w:leader="none"/>
        </w:tabs>
        <w:spacing w:before="0" w:after="0" w:line="240"/>
        <w:ind w:right="60" w:left="40" w:firstLine="5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 виробничих потужностей або складських приміщень, копії завірені печаткою.</w:t>
      </w:r>
    </w:p>
    <w:p>
      <w:pPr>
        <w:tabs>
          <w:tab w:val="left" w:pos="335" w:leader="none"/>
        </w:tabs>
        <w:spacing w:before="0" w:after="0" w:line="240"/>
        <w:ind w:right="60" w:left="40" w:firstLine="5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Копії договорів оренди, суборенди </w:t>
      </w:r>
    </w:p>
    <w:p>
      <w:pPr>
        <w:tabs>
          <w:tab w:val="left" w:pos="335" w:leader="none"/>
        </w:tabs>
        <w:spacing w:before="0" w:after="0" w:line="240"/>
        <w:ind w:right="60" w:left="40" w:firstLine="5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tabs>
          <w:tab w:val="left" w:pos="335" w:leader="none"/>
        </w:tabs>
        <w:spacing w:before="0" w:after="0" w:line="240"/>
        <w:ind w:right="60" w:left="40" w:firstLine="5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якщо бухгалтер і  керівник – одна особа, то надати лист від учасника, який підтверджує цей факт;</w:t>
      </w:r>
    </w:p>
    <w:p>
      <w:pPr>
        <w:tabs>
          <w:tab w:val="left" w:pos="335" w:leader="none"/>
        </w:tabs>
        <w:spacing w:before="0" w:after="0" w:line="240"/>
        <w:ind w:right="60" w:left="40" w:firstLine="5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якщо Замовник (покупець)  являється учасником кримінальних судових проваджень, то він має надати відповідний лист, про цей факт;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Наказ про призначення директора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Реквізити.</w:t>
      </w:r>
    </w:p>
    <w:p>
      <w:pPr>
        <w:tabs>
          <w:tab w:val="left" w:pos="335" w:leader="none"/>
        </w:tabs>
        <w:spacing w:before="0" w:after="0" w:line="240"/>
        <w:ind w:right="60" w:left="40" w:firstLine="5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потреби підрозділ безпеки підприємства Концерну або Концерну має право запитувати інші документи, необхідні для прийняття рішення щодо відповідності кваліфікаційним критеріям учасника.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numPr>
          <w:ilvl w:val="0"/>
          <w:numId w:val="92"/>
        </w:numPr>
        <w:spacing w:before="0" w:after="0" w:line="240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Документи, які повинен подати Учасник для підтвердження сплати податків і зборів (обов'язкових платежів), передбачених законодавством: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Копія свідоцтва платника ПДВ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витягу з реєстру платників ПДВ (якщо Учасник є платником ПДВ) та копія свідоцтва про сплату єдиного податку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(якщо Учасник є платником єдиного податку) або реєстрацію платника податків на додану вартість.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Юридичні особи: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 обстеження державними адміністраціями спеціалізованих підприємств на відповідність вимогам Закону України от 05.05.1999 № 619-XIV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металобрухт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або Ліцензії на заготівлю, переробку металобрухту чорних, кольорових металів, які видані раніше, строк дії яких необмежений.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копія Статуту або іншого установчого документу.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оригінал або копія Витягу з Єдиного державного реєстру юридичних осіб, або Виписки з Єдиного державного реєстру юридичних осіб;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копія документа (протокол загальних зборів засновників, довіреність тощо), що визначає повноваження особи, яка підписує договір;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Фізичні особи – підприємці: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Збирання, заготівля, переробка, реалізація промислового металобрухту фізичними особами забороняються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(частина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десята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статті 4 із змінами, внесеними  згідно із Законом України від 25.12.2002 р. N 359-IV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"http://search.ligazakon.ua/l_doc2.nsf/link1/T020359.html"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«Про металобрухт»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"http://search.ligazakon.ua/l_doc2.nsf/link1/T020359.html"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)</w:t>
        </w:r>
      </w:hyperlink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</w:tabs>
        <w:spacing w:before="0" w:after="200" w:line="240"/>
        <w:ind w:right="-2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Увага! При порушенні вимог, що викладені в Додатку №1 учасник тендеру дискваліфіковується.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яка подається учасником – переможцем на фірмовому бланку після завершення аукціону на продаж)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(назва переможця) запропонували найвищу цінову пропозицію згідно проведеного аукціону №_________ на загальну суму ______________.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Просимо надати Договір на закупівлю металобрухту згідно нашої цінової пропозиції:</w:t>
      </w:r>
    </w:p>
    <w:tbl>
      <w:tblPr/>
      <w:tblGrid>
        <w:gridCol w:w="4077"/>
        <w:gridCol w:w="1276"/>
        <w:gridCol w:w="1985"/>
        <w:gridCol w:w="2126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Найменування товару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Кількість (тонн)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Ціна за 1 тонну, (без ПДВ), грн.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 ПДВ), грн.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Брухт сталевий негабаритний  (вид 509 за ДСТУ 4121:2002)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Підпис______________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8">
    <w:abstractNumId w:val="24"/>
  </w:num>
  <w:num w:numId="34">
    <w:abstractNumId w:val="18"/>
  </w:num>
  <w:num w:numId="81">
    <w:abstractNumId w:val="12"/>
  </w:num>
  <w:num w:numId="83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earch.ligazakon.ua/l_doc2.nsf/link1/T020359.html" Id="docRId1" Type="http://schemas.openxmlformats.org/officeDocument/2006/relationships/hyperlink"/><Relationship TargetMode="External" Target="http://search.ligazakon.ua/l_doc2.nsf/link1/T020359.html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search.ligazakon.ua/l_doc2.nsf/link1/T020359.html" Id="docRId0" Type="http://schemas.openxmlformats.org/officeDocument/2006/relationships/hyperlink"/><Relationship TargetMode="External" Target="http://search.ligazakon.ua/l_doc2.nsf/link1/T063370.html" Id="docRId2" Type="http://schemas.openxmlformats.org/officeDocument/2006/relationships/hyperlink"/><Relationship Target="numbering.xml" Id="docRId4" Type="http://schemas.openxmlformats.org/officeDocument/2006/relationships/numbering"/></Relationships>
</file>