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32102E46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631FE3">
        <w:rPr>
          <w:color w:val="000000" w:themeColor="text1"/>
        </w:rPr>
        <w:t>6000,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631FE3">
        <w:rPr>
          <w:color w:val="000000" w:themeColor="text1"/>
        </w:rPr>
        <w:t xml:space="preserve">шість тисяч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>) з врах</w:t>
      </w:r>
      <w:r w:rsidR="00631FE3">
        <w:rPr>
          <w:color w:val="000000" w:themeColor="text1"/>
        </w:rPr>
        <w:t xml:space="preserve">уванням всіх податків та зборів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09D67C5D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631FE3">
        <w:rPr>
          <w:b/>
          <w:i/>
          <w:color w:val="000000" w:themeColor="text1"/>
        </w:rPr>
        <w:t xml:space="preserve">вул. Криворізька, в районі буд. № 22 Б </w:t>
      </w:r>
      <w:r w:rsidR="00F9138F">
        <w:rPr>
          <w:b/>
          <w:i/>
          <w:color w:val="000000" w:themeColor="text1"/>
        </w:rPr>
        <w:t>(</w:t>
      </w:r>
      <w:r w:rsidR="00631FE3">
        <w:rPr>
          <w:b/>
          <w:i/>
          <w:color w:val="000000" w:themeColor="text1"/>
        </w:rPr>
        <w:t>10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631FE3">
        <w:rPr>
          <w:b/>
          <w:i/>
          <w:color w:val="000000" w:themeColor="text1"/>
        </w:rPr>
        <w:t>1 спеціальне місце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7ED2700B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631FE3">
        <w:rPr>
          <w:b/>
          <w:i/>
          <w:color w:val="000000" w:themeColor="text1"/>
        </w:rPr>
        <w:t>вул. Криворізька, в районі буд. № 22 Б, м. Дніпро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1B147E5D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4959E056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1273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600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11273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59906778" w:rsidR="00BF3E7F" w:rsidRDefault="00112739" w:rsidP="001E7273">
      <w:pPr>
        <w:ind w:firstLine="709"/>
        <w:jc w:val="both"/>
        <w:rPr>
          <w:bCs/>
        </w:rPr>
      </w:pPr>
      <w:r>
        <w:rPr>
          <w:bCs/>
        </w:rPr>
        <w:t>1.13. Довідка з банківської установи про відкриття рахунку.</w:t>
      </w:r>
    </w:p>
    <w:p w14:paraId="18002B78" w14:textId="77777777" w:rsidR="00112739" w:rsidRPr="00057EE6" w:rsidRDefault="00112739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</w:t>
      </w:r>
      <w:r w:rsidRPr="002957EC">
        <w:rPr>
          <w:b/>
          <w:bCs/>
          <w:i/>
        </w:rPr>
        <w:lastRenderedPageBreak/>
        <w:t>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52715BF1" w:rsidR="00A6352A" w:rsidRDefault="00112739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Гарантійний внесок має бути сплачений з банківського рахунку Учасника.</w:t>
      </w:r>
    </w:p>
    <w:p w14:paraId="13DE4E5F" w14:textId="77777777" w:rsidR="00112739" w:rsidRPr="002957EC" w:rsidRDefault="00112739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2739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31FE3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8121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2018-10-01T13:12:00Z</dcterms:created>
  <dcterms:modified xsi:type="dcterms:W3CDTF">2018-10-01T13:12:00Z</dcterms:modified>
</cp:coreProperties>
</file>