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33" w:rsidRPr="00106EE6" w:rsidRDefault="00106533" w:rsidP="00106533">
      <w:pPr>
        <w:spacing w:after="0"/>
        <w:ind w:left="3828" w:firstLine="708"/>
        <w:jc w:val="both"/>
        <w:rPr>
          <w:rFonts w:ascii="Times New Roman" w:hAnsi="Times New Roman" w:cs="Times New Roman"/>
          <w:b/>
          <w:sz w:val="24"/>
          <w:szCs w:val="24"/>
          <w:lang w:eastAsia="uk-UA"/>
        </w:rPr>
      </w:pPr>
      <w:proofErr w:type="spellStart"/>
      <w:r w:rsidRPr="00106EE6">
        <w:rPr>
          <w:rFonts w:ascii="Times New Roman" w:hAnsi="Times New Roman" w:cs="Times New Roman"/>
          <w:b/>
          <w:sz w:val="24"/>
          <w:szCs w:val="24"/>
        </w:rPr>
        <w:t>Додаток</w:t>
      </w:r>
      <w:proofErr w:type="spellEnd"/>
      <w:r w:rsidRPr="00106EE6">
        <w:rPr>
          <w:rFonts w:ascii="Times New Roman" w:hAnsi="Times New Roman" w:cs="Times New Roman"/>
          <w:b/>
          <w:sz w:val="24"/>
          <w:szCs w:val="24"/>
        </w:rPr>
        <w:t xml:space="preserve"> </w:t>
      </w:r>
      <w:r w:rsidRPr="00106EE6">
        <w:rPr>
          <w:rFonts w:ascii="Times New Roman" w:hAnsi="Times New Roman" w:cs="Times New Roman"/>
          <w:b/>
          <w:sz w:val="24"/>
          <w:szCs w:val="24"/>
          <w:lang w:val="uk-UA"/>
        </w:rPr>
        <w:t>1</w:t>
      </w:r>
      <w:r w:rsidRPr="00106EE6">
        <w:rPr>
          <w:rFonts w:ascii="Times New Roman" w:hAnsi="Times New Roman" w:cs="Times New Roman"/>
          <w:b/>
          <w:sz w:val="24"/>
          <w:szCs w:val="24"/>
        </w:rPr>
        <w:t xml:space="preserve"> </w:t>
      </w:r>
      <w:proofErr w:type="gramStart"/>
      <w:r w:rsidRPr="00106EE6">
        <w:rPr>
          <w:rFonts w:ascii="Times New Roman" w:hAnsi="Times New Roman" w:cs="Times New Roman"/>
          <w:b/>
          <w:sz w:val="24"/>
          <w:szCs w:val="24"/>
        </w:rPr>
        <w:t>до наказу</w:t>
      </w:r>
      <w:proofErr w:type="gramEnd"/>
      <w:r w:rsidRPr="00106EE6">
        <w:rPr>
          <w:rFonts w:ascii="Times New Roman" w:hAnsi="Times New Roman" w:cs="Times New Roman"/>
          <w:b/>
          <w:sz w:val="24"/>
          <w:szCs w:val="24"/>
        </w:rPr>
        <w:t xml:space="preserve"> директора </w:t>
      </w:r>
    </w:p>
    <w:p w:rsidR="00106533" w:rsidRPr="00106EE6" w:rsidRDefault="00106533" w:rsidP="00106533">
      <w:pPr>
        <w:spacing w:after="0"/>
        <w:ind w:left="4248" w:firstLine="288"/>
        <w:jc w:val="both"/>
        <w:rPr>
          <w:rFonts w:ascii="Times New Roman" w:hAnsi="Times New Roman" w:cs="Times New Roman"/>
          <w:b/>
          <w:sz w:val="24"/>
          <w:szCs w:val="24"/>
        </w:rPr>
      </w:pPr>
      <w:proofErr w:type="spellStart"/>
      <w:r w:rsidRPr="00106EE6">
        <w:rPr>
          <w:rFonts w:ascii="Times New Roman" w:hAnsi="Times New Roman" w:cs="Times New Roman"/>
          <w:b/>
          <w:sz w:val="24"/>
          <w:szCs w:val="24"/>
        </w:rPr>
        <w:t>Комунального</w:t>
      </w:r>
      <w:proofErr w:type="spellEnd"/>
      <w:r w:rsidRPr="00106EE6">
        <w:rPr>
          <w:rFonts w:ascii="Times New Roman" w:hAnsi="Times New Roman" w:cs="Times New Roman"/>
          <w:b/>
          <w:sz w:val="24"/>
          <w:szCs w:val="24"/>
        </w:rPr>
        <w:t xml:space="preserve"> </w:t>
      </w:r>
      <w:proofErr w:type="spellStart"/>
      <w:r w:rsidRPr="00106EE6">
        <w:rPr>
          <w:rFonts w:ascii="Times New Roman" w:hAnsi="Times New Roman" w:cs="Times New Roman"/>
          <w:b/>
          <w:sz w:val="24"/>
          <w:szCs w:val="24"/>
        </w:rPr>
        <w:t>підприємства</w:t>
      </w:r>
      <w:proofErr w:type="spellEnd"/>
      <w:r w:rsidRPr="00106EE6">
        <w:rPr>
          <w:rFonts w:ascii="Times New Roman" w:hAnsi="Times New Roman" w:cs="Times New Roman"/>
          <w:b/>
          <w:sz w:val="24"/>
          <w:szCs w:val="24"/>
        </w:rPr>
        <w:t xml:space="preserve"> </w:t>
      </w:r>
    </w:p>
    <w:p w:rsidR="00106533" w:rsidRPr="00106EE6" w:rsidRDefault="00106533" w:rsidP="00106533">
      <w:pPr>
        <w:spacing w:after="0"/>
        <w:ind w:left="4248" w:firstLine="288"/>
        <w:jc w:val="both"/>
        <w:rPr>
          <w:rFonts w:ascii="Times New Roman" w:hAnsi="Times New Roman" w:cs="Times New Roman"/>
          <w:b/>
          <w:sz w:val="24"/>
          <w:szCs w:val="24"/>
        </w:rPr>
      </w:pPr>
      <w:r w:rsidRPr="00106EE6">
        <w:rPr>
          <w:rFonts w:ascii="Times New Roman" w:hAnsi="Times New Roman" w:cs="Times New Roman"/>
          <w:b/>
          <w:sz w:val="24"/>
          <w:szCs w:val="24"/>
        </w:rPr>
        <w:t>«</w:t>
      </w:r>
      <w:proofErr w:type="spellStart"/>
      <w:r w:rsidRPr="00106EE6">
        <w:rPr>
          <w:rFonts w:ascii="Times New Roman" w:hAnsi="Times New Roman" w:cs="Times New Roman"/>
          <w:b/>
          <w:sz w:val="24"/>
          <w:szCs w:val="24"/>
        </w:rPr>
        <w:t>Авангардкомунсервіс</w:t>
      </w:r>
      <w:proofErr w:type="spellEnd"/>
      <w:r w:rsidRPr="00106EE6">
        <w:rPr>
          <w:rFonts w:ascii="Times New Roman" w:hAnsi="Times New Roman" w:cs="Times New Roman"/>
          <w:b/>
          <w:sz w:val="24"/>
          <w:szCs w:val="24"/>
        </w:rPr>
        <w:t xml:space="preserve">» </w:t>
      </w:r>
    </w:p>
    <w:p w:rsidR="00106533" w:rsidRPr="00106EE6" w:rsidRDefault="00106533" w:rsidP="00106533">
      <w:pPr>
        <w:spacing w:after="0"/>
        <w:ind w:left="4248" w:firstLine="288"/>
        <w:jc w:val="both"/>
        <w:rPr>
          <w:rFonts w:ascii="Times New Roman" w:hAnsi="Times New Roman" w:cs="Times New Roman"/>
          <w:b/>
          <w:sz w:val="24"/>
          <w:szCs w:val="24"/>
        </w:rPr>
      </w:pPr>
      <w:r w:rsidRPr="00106EE6">
        <w:rPr>
          <w:rFonts w:ascii="Times New Roman" w:hAnsi="Times New Roman" w:cs="Times New Roman"/>
          <w:b/>
          <w:sz w:val="24"/>
          <w:szCs w:val="24"/>
        </w:rPr>
        <w:t xml:space="preserve">Авангардівської </w:t>
      </w:r>
      <w:proofErr w:type="spellStart"/>
      <w:r w:rsidRPr="00106EE6">
        <w:rPr>
          <w:rFonts w:ascii="Times New Roman" w:hAnsi="Times New Roman" w:cs="Times New Roman"/>
          <w:b/>
          <w:sz w:val="24"/>
          <w:szCs w:val="24"/>
        </w:rPr>
        <w:t>селищної</w:t>
      </w:r>
      <w:proofErr w:type="spellEnd"/>
      <w:r w:rsidRPr="00106EE6">
        <w:rPr>
          <w:rFonts w:ascii="Times New Roman" w:hAnsi="Times New Roman" w:cs="Times New Roman"/>
          <w:b/>
          <w:sz w:val="24"/>
          <w:szCs w:val="24"/>
        </w:rPr>
        <w:t xml:space="preserve"> ради </w:t>
      </w:r>
    </w:p>
    <w:p w:rsidR="00106533" w:rsidRPr="00106EE6" w:rsidRDefault="00106533" w:rsidP="00106533">
      <w:pPr>
        <w:spacing w:after="0"/>
        <w:ind w:left="4248" w:firstLine="288"/>
        <w:jc w:val="both"/>
        <w:rPr>
          <w:rFonts w:ascii="Times New Roman" w:hAnsi="Times New Roman" w:cs="Times New Roman"/>
          <w:b/>
          <w:sz w:val="24"/>
          <w:szCs w:val="24"/>
        </w:rPr>
      </w:pPr>
      <w:r>
        <w:rPr>
          <w:rFonts w:ascii="Times New Roman" w:hAnsi="Times New Roman" w:cs="Times New Roman"/>
          <w:b/>
          <w:sz w:val="24"/>
          <w:szCs w:val="24"/>
        </w:rPr>
        <w:t>№</w:t>
      </w:r>
      <w:r w:rsidR="005C09C6">
        <w:rPr>
          <w:rFonts w:ascii="Times New Roman" w:hAnsi="Times New Roman" w:cs="Times New Roman"/>
          <w:b/>
          <w:sz w:val="24"/>
          <w:szCs w:val="24"/>
        </w:rPr>
        <w:t xml:space="preserve">11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w:t>
      </w:r>
      <w:r w:rsidR="005C09C6">
        <w:rPr>
          <w:rFonts w:ascii="Times New Roman" w:hAnsi="Times New Roman" w:cs="Times New Roman"/>
          <w:b/>
          <w:sz w:val="24"/>
          <w:szCs w:val="24"/>
        </w:rPr>
        <w:t>10.02.</w:t>
      </w:r>
      <w:bookmarkStart w:id="0" w:name="_GoBack"/>
      <w:bookmarkEnd w:id="0"/>
      <w:r>
        <w:rPr>
          <w:rFonts w:ascii="Times New Roman" w:hAnsi="Times New Roman" w:cs="Times New Roman"/>
          <w:b/>
          <w:sz w:val="24"/>
          <w:szCs w:val="24"/>
        </w:rPr>
        <w:t>2021</w:t>
      </w:r>
      <w:r w:rsidRPr="00106EE6">
        <w:rPr>
          <w:rFonts w:ascii="Times New Roman" w:hAnsi="Times New Roman" w:cs="Times New Roman"/>
          <w:b/>
          <w:sz w:val="24"/>
          <w:szCs w:val="24"/>
        </w:rPr>
        <w:t xml:space="preserve"> р.</w:t>
      </w:r>
    </w:p>
    <w:p w:rsidR="00106533" w:rsidRDefault="00106533" w:rsidP="00106533">
      <w:pPr>
        <w:jc w:val="both"/>
        <w:rPr>
          <w:rFonts w:ascii="Times New Roman" w:hAnsi="Times New Roman" w:cs="Times New Roman"/>
          <w:sz w:val="28"/>
          <w:szCs w:val="28"/>
        </w:rPr>
      </w:pPr>
    </w:p>
    <w:p w:rsidR="00106533" w:rsidRDefault="00106533" w:rsidP="00106533">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О</w:t>
      </w:r>
      <w:proofErr w:type="spellStart"/>
      <w:r w:rsidRPr="007C479F">
        <w:rPr>
          <w:rFonts w:ascii="Times New Roman" w:hAnsi="Times New Roman" w:cs="Times New Roman"/>
          <w:b/>
          <w:sz w:val="28"/>
          <w:szCs w:val="28"/>
        </w:rPr>
        <w:t>голошення</w:t>
      </w:r>
      <w:proofErr w:type="spellEnd"/>
      <w:r w:rsidRPr="007C479F">
        <w:rPr>
          <w:rFonts w:ascii="Times New Roman" w:hAnsi="Times New Roman" w:cs="Times New Roman"/>
          <w:b/>
          <w:sz w:val="28"/>
          <w:szCs w:val="28"/>
        </w:rPr>
        <w:t xml:space="preserve"> </w:t>
      </w:r>
      <w:r w:rsidRPr="007C479F">
        <w:rPr>
          <w:rFonts w:ascii="Times New Roman" w:hAnsi="Times New Roman" w:cs="Times New Roman"/>
          <w:b/>
          <w:sz w:val="28"/>
          <w:szCs w:val="28"/>
          <w:lang w:val="uk-UA"/>
        </w:rPr>
        <w:t xml:space="preserve">про проведення </w:t>
      </w:r>
      <w:r w:rsidRPr="007C479F">
        <w:rPr>
          <w:rFonts w:ascii="Times New Roman" w:hAnsi="Times New Roman" w:cs="Times New Roman"/>
          <w:b/>
          <w:sz w:val="28"/>
          <w:szCs w:val="28"/>
        </w:rPr>
        <w:t>конкурсу</w:t>
      </w:r>
      <w:r>
        <w:rPr>
          <w:rFonts w:ascii="Times New Roman" w:hAnsi="Times New Roman" w:cs="Times New Roman"/>
          <w:b/>
          <w:sz w:val="28"/>
          <w:szCs w:val="28"/>
          <w:lang w:val="uk-UA"/>
        </w:rPr>
        <w:t xml:space="preserve"> </w:t>
      </w:r>
      <w:r w:rsidRPr="007C479F">
        <w:rPr>
          <w:rFonts w:ascii="Times New Roman" w:hAnsi="Times New Roman" w:cs="Times New Roman"/>
          <w:b/>
          <w:sz w:val="28"/>
          <w:szCs w:val="28"/>
        </w:rPr>
        <w:t xml:space="preserve">для </w:t>
      </w:r>
      <w:proofErr w:type="spellStart"/>
      <w:r w:rsidRPr="007C479F">
        <w:rPr>
          <w:rFonts w:ascii="Times New Roman" w:hAnsi="Times New Roman" w:cs="Times New Roman"/>
          <w:b/>
          <w:sz w:val="28"/>
          <w:szCs w:val="28"/>
        </w:rPr>
        <w:t>передачі</w:t>
      </w:r>
      <w:proofErr w:type="spellEnd"/>
      <w:r w:rsidRPr="007C479F">
        <w:rPr>
          <w:rFonts w:ascii="Times New Roman" w:hAnsi="Times New Roman" w:cs="Times New Roman"/>
          <w:b/>
          <w:sz w:val="28"/>
          <w:szCs w:val="28"/>
        </w:rPr>
        <w:t xml:space="preserve"> в </w:t>
      </w:r>
      <w:proofErr w:type="spellStart"/>
      <w:r w:rsidRPr="007C479F">
        <w:rPr>
          <w:rFonts w:ascii="Times New Roman" w:hAnsi="Times New Roman" w:cs="Times New Roman"/>
          <w:b/>
          <w:sz w:val="28"/>
          <w:szCs w:val="28"/>
        </w:rPr>
        <w:t>оренду</w:t>
      </w:r>
      <w:proofErr w:type="spellEnd"/>
      <w:r w:rsidRPr="007C479F">
        <w:rPr>
          <w:rFonts w:ascii="Times New Roman" w:hAnsi="Times New Roman" w:cs="Times New Roman"/>
          <w:b/>
          <w:sz w:val="28"/>
          <w:szCs w:val="28"/>
        </w:rPr>
        <w:t xml:space="preserve"> </w:t>
      </w:r>
      <w:proofErr w:type="spellStart"/>
      <w:r w:rsidRPr="007C479F">
        <w:rPr>
          <w:rFonts w:ascii="Times New Roman" w:hAnsi="Times New Roman" w:cs="Times New Roman"/>
          <w:b/>
          <w:sz w:val="28"/>
          <w:szCs w:val="28"/>
        </w:rPr>
        <w:t>нерухомого</w:t>
      </w:r>
      <w:proofErr w:type="spellEnd"/>
      <w:r w:rsidRPr="007C479F">
        <w:rPr>
          <w:rFonts w:ascii="Times New Roman" w:hAnsi="Times New Roman" w:cs="Times New Roman"/>
          <w:b/>
          <w:sz w:val="28"/>
          <w:szCs w:val="28"/>
        </w:rPr>
        <w:t xml:space="preserve"> майна,</w:t>
      </w:r>
      <w:r>
        <w:rPr>
          <w:rFonts w:ascii="Times New Roman" w:hAnsi="Times New Roman" w:cs="Times New Roman"/>
          <w:b/>
          <w:sz w:val="28"/>
          <w:szCs w:val="28"/>
          <w:lang w:val="uk-UA"/>
        </w:rPr>
        <w:t xml:space="preserve"> </w:t>
      </w:r>
      <w:proofErr w:type="spellStart"/>
      <w:r w:rsidRPr="007C479F">
        <w:rPr>
          <w:rFonts w:ascii="Times New Roman" w:hAnsi="Times New Roman" w:cs="Times New Roman"/>
          <w:b/>
          <w:sz w:val="28"/>
          <w:szCs w:val="28"/>
        </w:rPr>
        <w:t>що</w:t>
      </w:r>
      <w:proofErr w:type="spellEnd"/>
      <w:r w:rsidRPr="007C479F">
        <w:rPr>
          <w:rFonts w:ascii="Times New Roman" w:hAnsi="Times New Roman" w:cs="Times New Roman"/>
          <w:b/>
          <w:sz w:val="28"/>
          <w:szCs w:val="28"/>
        </w:rPr>
        <w:t xml:space="preserve"> </w:t>
      </w:r>
      <w:proofErr w:type="spellStart"/>
      <w:r w:rsidRPr="007C479F">
        <w:rPr>
          <w:rFonts w:ascii="Times New Roman" w:hAnsi="Times New Roman" w:cs="Times New Roman"/>
          <w:b/>
          <w:sz w:val="28"/>
          <w:szCs w:val="28"/>
        </w:rPr>
        <w:t>належить</w:t>
      </w:r>
      <w:proofErr w:type="spellEnd"/>
      <w:r w:rsidRPr="007C479F">
        <w:rPr>
          <w:rFonts w:ascii="Times New Roman" w:hAnsi="Times New Roman" w:cs="Times New Roman"/>
          <w:b/>
          <w:sz w:val="28"/>
          <w:szCs w:val="28"/>
        </w:rPr>
        <w:t xml:space="preserve"> до </w:t>
      </w:r>
      <w:proofErr w:type="spellStart"/>
      <w:r w:rsidRPr="007C479F">
        <w:rPr>
          <w:rFonts w:ascii="Times New Roman" w:hAnsi="Times New Roman" w:cs="Times New Roman"/>
          <w:b/>
          <w:sz w:val="28"/>
          <w:szCs w:val="28"/>
        </w:rPr>
        <w:t>комунальної</w:t>
      </w:r>
      <w:proofErr w:type="spellEnd"/>
      <w:r w:rsidRPr="007C479F">
        <w:rPr>
          <w:rFonts w:ascii="Times New Roman" w:hAnsi="Times New Roman" w:cs="Times New Roman"/>
          <w:b/>
          <w:sz w:val="28"/>
          <w:szCs w:val="28"/>
        </w:rPr>
        <w:t xml:space="preserve"> </w:t>
      </w:r>
      <w:proofErr w:type="spellStart"/>
      <w:r w:rsidRPr="007C479F">
        <w:rPr>
          <w:rFonts w:ascii="Times New Roman" w:hAnsi="Times New Roman" w:cs="Times New Roman"/>
          <w:b/>
          <w:sz w:val="28"/>
          <w:szCs w:val="28"/>
        </w:rPr>
        <w:t>власності</w:t>
      </w:r>
      <w:proofErr w:type="spellEnd"/>
    </w:p>
    <w:p w:rsidR="00106533" w:rsidRDefault="00106533" w:rsidP="00106533">
      <w:pPr>
        <w:spacing w:after="0"/>
        <w:jc w:val="center"/>
        <w:rPr>
          <w:rFonts w:ascii="Times New Roman" w:hAnsi="Times New Roman" w:cs="Times New Roman"/>
          <w:b/>
          <w:sz w:val="28"/>
          <w:szCs w:val="28"/>
        </w:rPr>
      </w:pPr>
      <w:r>
        <w:rPr>
          <w:rFonts w:ascii="Times New Roman" w:hAnsi="Times New Roman" w:cs="Times New Roman"/>
          <w:b/>
          <w:sz w:val="28"/>
          <w:szCs w:val="28"/>
          <w:lang w:val="uk-UA"/>
        </w:rPr>
        <w:t>(</w:t>
      </w:r>
      <w:r w:rsidR="00092E71" w:rsidRPr="00092E71">
        <w:rPr>
          <w:rFonts w:ascii="Times New Roman" w:hAnsi="Times New Roman" w:cs="Times New Roman"/>
          <w:b/>
          <w:sz w:val="28"/>
          <w:szCs w:val="28"/>
          <w:lang w:val="uk-UA"/>
        </w:rPr>
        <w:t xml:space="preserve">корпус В селищного ринку площею 158,70 </w:t>
      </w:r>
      <w:proofErr w:type="spellStart"/>
      <w:r w:rsidR="00092E71" w:rsidRPr="00092E71">
        <w:rPr>
          <w:rFonts w:ascii="Times New Roman" w:hAnsi="Times New Roman" w:cs="Times New Roman"/>
          <w:b/>
          <w:sz w:val="28"/>
          <w:szCs w:val="28"/>
          <w:lang w:val="uk-UA"/>
        </w:rPr>
        <w:t>кв.м</w:t>
      </w:r>
      <w:proofErr w:type="spellEnd"/>
      <w:r w:rsidR="00092E71" w:rsidRPr="00092E71">
        <w:rPr>
          <w:rFonts w:ascii="Times New Roman" w:hAnsi="Times New Roman" w:cs="Times New Roman"/>
          <w:b/>
          <w:sz w:val="28"/>
          <w:szCs w:val="28"/>
          <w:lang w:val="uk-UA"/>
        </w:rPr>
        <w:t>.</w:t>
      </w:r>
      <w:r w:rsidRPr="00C8013A">
        <w:rPr>
          <w:rFonts w:ascii="Times New Roman" w:hAnsi="Times New Roman" w:cs="Times New Roman"/>
          <w:b/>
          <w:sz w:val="28"/>
          <w:szCs w:val="28"/>
          <w:lang w:val="uk-UA"/>
        </w:rPr>
        <w:t>, розташованого за адресою: Одеська область, Овідіопольський район, смт Авангард, вул. Ангарська, 14-р</w:t>
      </w:r>
      <w:r w:rsidRPr="007C479F">
        <w:rPr>
          <w:rFonts w:ascii="Times New Roman" w:hAnsi="Times New Roman" w:cs="Times New Roman"/>
          <w:b/>
          <w:sz w:val="28"/>
          <w:szCs w:val="28"/>
        </w:rPr>
        <w:t>)</w:t>
      </w:r>
    </w:p>
    <w:p w:rsidR="00106533" w:rsidRDefault="00106533" w:rsidP="00106533">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033"/>
        <w:gridCol w:w="4415"/>
        <w:gridCol w:w="3897"/>
      </w:tblGrid>
      <w:tr w:rsidR="00106533" w:rsidTr="00E776D6">
        <w:tc>
          <w:tcPr>
            <w:tcW w:w="9345" w:type="dxa"/>
            <w:gridSpan w:val="3"/>
          </w:tcPr>
          <w:p w:rsidR="00106533" w:rsidRDefault="00106533" w:rsidP="00E776D6">
            <w:pPr>
              <w:pStyle w:val="rvps2"/>
              <w:spacing w:before="0" w:beforeAutospacing="0" w:after="0" w:afterAutospacing="0"/>
              <w:jc w:val="center"/>
              <w:rPr>
                <w:b/>
                <w:color w:val="333333"/>
                <w:sz w:val="28"/>
                <w:szCs w:val="28"/>
                <w:lang w:val="uk-UA"/>
              </w:rPr>
            </w:pPr>
            <w:r>
              <w:rPr>
                <w:b/>
                <w:color w:val="333333"/>
                <w:sz w:val="28"/>
                <w:szCs w:val="28"/>
                <w:lang w:val="uk-UA"/>
              </w:rPr>
              <w:t>1. П</w:t>
            </w:r>
            <w:r w:rsidRPr="008A6D4A">
              <w:rPr>
                <w:b/>
                <w:color w:val="333333"/>
                <w:sz w:val="28"/>
                <w:szCs w:val="28"/>
                <w:lang w:val="uk-UA"/>
              </w:rPr>
              <w:t>овне найменування і адреса орендодавця та/або балансоутримувача</w:t>
            </w:r>
          </w:p>
          <w:p w:rsidR="00106533" w:rsidRDefault="00106533" w:rsidP="00E776D6">
            <w:pPr>
              <w:pStyle w:val="rvps2"/>
              <w:spacing w:before="0" w:beforeAutospacing="0" w:after="0" w:afterAutospacing="0"/>
              <w:jc w:val="both"/>
              <w:rPr>
                <w:b/>
                <w:color w:val="333333"/>
                <w:sz w:val="28"/>
                <w:szCs w:val="28"/>
                <w:lang w:val="uk-UA"/>
              </w:rPr>
            </w:pPr>
          </w:p>
        </w:tc>
      </w:tr>
      <w:tr w:rsidR="00106533"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sidRPr="00B8030A">
              <w:rPr>
                <w:b/>
                <w:color w:val="333333"/>
                <w:lang w:val="uk-UA"/>
              </w:rPr>
              <w:t>1.1.</w:t>
            </w:r>
          </w:p>
        </w:tc>
        <w:tc>
          <w:tcPr>
            <w:tcW w:w="4415" w:type="dxa"/>
          </w:tcPr>
          <w:p w:rsidR="00106533" w:rsidRPr="00B8030A" w:rsidRDefault="00106533" w:rsidP="00E776D6">
            <w:pPr>
              <w:pStyle w:val="rvps2"/>
              <w:spacing w:before="0" w:beforeAutospacing="0" w:after="0" w:afterAutospacing="0"/>
              <w:jc w:val="both"/>
              <w:rPr>
                <w:b/>
                <w:color w:val="333333"/>
                <w:lang w:val="uk-UA"/>
              </w:rPr>
            </w:pPr>
            <w:r w:rsidRPr="00B8030A">
              <w:rPr>
                <w:b/>
                <w:color w:val="333333"/>
                <w:lang w:val="uk-UA"/>
              </w:rPr>
              <w:t>Орендодавець</w:t>
            </w:r>
          </w:p>
        </w:tc>
        <w:tc>
          <w:tcPr>
            <w:tcW w:w="3897" w:type="dxa"/>
          </w:tcPr>
          <w:p w:rsidR="00106533" w:rsidRPr="00B8030A" w:rsidRDefault="00106533" w:rsidP="00E776D6">
            <w:pPr>
              <w:pStyle w:val="rvps2"/>
              <w:shd w:val="clear" w:color="auto" w:fill="FFFFFF"/>
              <w:spacing w:before="0" w:beforeAutospacing="0" w:after="0" w:afterAutospacing="0"/>
              <w:rPr>
                <w:color w:val="333333"/>
                <w:lang w:val="uk-UA"/>
              </w:rPr>
            </w:pPr>
            <w:r w:rsidRPr="00B8030A">
              <w:rPr>
                <w:color w:val="333333"/>
                <w:lang w:val="uk-UA"/>
              </w:rPr>
              <w:t>Комунальне підприємство «</w:t>
            </w:r>
            <w:proofErr w:type="spellStart"/>
            <w:r w:rsidRPr="00B8030A">
              <w:rPr>
                <w:color w:val="333333"/>
                <w:lang w:val="uk-UA"/>
              </w:rPr>
              <w:t>Авангардкомунсервіс</w:t>
            </w:r>
            <w:proofErr w:type="spellEnd"/>
            <w:r w:rsidRPr="00B8030A">
              <w:rPr>
                <w:color w:val="333333"/>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p w:rsidR="00106533" w:rsidRPr="00B8030A" w:rsidRDefault="00106533" w:rsidP="00E776D6">
            <w:pPr>
              <w:pStyle w:val="rvps2"/>
              <w:spacing w:before="0" w:beforeAutospacing="0" w:after="0" w:afterAutospacing="0"/>
              <w:jc w:val="both"/>
              <w:rPr>
                <w:b/>
                <w:color w:val="333333"/>
                <w:lang w:val="uk-UA"/>
              </w:rPr>
            </w:pP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sidRPr="00B8030A">
              <w:rPr>
                <w:b/>
                <w:color w:val="333333"/>
                <w:lang w:val="uk-UA"/>
              </w:rPr>
              <w:t xml:space="preserve">1.2. </w:t>
            </w:r>
          </w:p>
        </w:tc>
        <w:tc>
          <w:tcPr>
            <w:tcW w:w="4415" w:type="dxa"/>
          </w:tcPr>
          <w:p w:rsidR="00106533" w:rsidRPr="00B8030A" w:rsidRDefault="00106533" w:rsidP="00E776D6">
            <w:pPr>
              <w:pStyle w:val="rvps2"/>
              <w:spacing w:before="0" w:beforeAutospacing="0" w:after="0" w:afterAutospacing="0"/>
              <w:jc w:val="both"/>
              <w:rPr>
                <w:b/>
                <w:color w:val="333333"/>
                <w:lang w:val="uk-UA"/>
              </w:rPr>
            </w:pPr>
            <w:r w:rsidRPr="00B8030A">
              <w:rPr>
                <w:b/>
                <w:color w:val="333333"/>
                <w:lang w:val="uk-UA"/>
              </w:rPr>
              <w:t>Балансоутримувач</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B8030A">
              <w:rPr>
                <w:color w:val="333333"/>
                <w:lang w:val="uk-UA"/>
              </w:rPr>
              <w:t>Комунальне підприємство «</w:t>
            </w:r>
            <w:proofErr w:type="spellStart"/>
            <w:r w:rsidRPr="00B8030A">
              <w:rPr>
                <w:color w:val="333333"/>
                <w:lang w:val="uk-UA"/>
              </w:rPr>
              <w:t>Авангардкомунсервіс</w:t>
            </w:r>
            <w:proofErr w:type="spellEnd"/>
            <w:r w:rsidRPr="00B8030A">
              <w:rPr>
                <w:color w:val="333333"/>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tc>
      </w:tr>
      <w:tr w:rsidR="00106533" w:rsidRPr="00B8030A" w:rsidTr="00E776D6">
        <w:tc>
          <w:tcPr>
            <w:tcW w:w="9345" w:type="dxa"/>
            <w:gridSpan w:val="3"/>
          </w:tcPr>
          <w:p w:rsidR="00106533" w:rsidRPr="00B8030A" w:rsidRDefault="00106533" w:rsidP="00E776D6">
            <w:pPr>
              <w:pStyle w:val="rvps2"/>
              <w:spacing w:before="0" w:beforeAutospacing="0" w:after="0" w:afterAutospacing="0"/>
              <w:jc w:val="center"/>
              <w:rPr>
                <w:b/>
                <w:color w:val="333333"/>
                <w:sz w:val="28"/>
                <w:szCs w:val="28"/>
                <w:lang w:val="uk-UA"/>
              </w:rPr>
            </w:pPr>
            <w:r w:rsidRPr="00B8030A">
              <w:rPr>
                <w:b/>
                <w:color w:val="333333"/>
                <w:sz w:val="28"/>
                <w:szCs w:val="28"/>
                <w:lang w:val="uk-UA"/>
              </w:rPr>
              <w:t>2. Інформація про об’єкт оренди, що міститься в Переліку першого типу, в обсязі, визначеному пунктом 26 Порядку передачі в оренду державного та комунального майна</w:t>
            </w:r>
          </w:p>
          <w:p w:rsidR="00106533" w:rsidRPr="00B8030A" w:rsidRDefault="00106533" w:rsidP="00E776D6">
            <w:pPr>
              <w:pStyle w:val="rvps2"/>
              <w:spacing w:before="0" w:beforeAutospacing="0" w:after="0" w:afterAutospacing="0"/>
              <w:jc w:val="center"/>
              <w:rPr>
                <w:b/>
                <w:color w:val="333333"/>
                <w:lang w:val="uk-UA"/>
              </w:rPr>
            </w:pP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 xml:space="preserve">2.1. </w:t>
            </w:r>
          </w:p>
        </w:tc>
        <w:tc>
          <w:tcPr>
            <w:tcW w:w="4415" w:type="dxa"/>
          </w:tcPr>
          <w:p w:rsidR="00106533" w:rsidRPr="00B8030A" w:rsidRDefault="00106533" w:rsidP="00E776D6">
            <w:pPr>
              <w:pStyle w:val="rvps2"/>
              <w:spacing w:before="0" w:beforeAutospacing="0" w:after="0" w:afterAutospacing="0"/>
              <w:rPr>
                <w:b/>
                <w:color w:val="333333"/>
                <w:lang w:val="uk-UA"/>
              </w:rPr>
            </w:pPr>
            <w:r>
              <w:rPr>
                <w:b/>
                <w:color w:val="333333"/>
                <w:lang w:val="uk-UA"/>
              </w:rPr>
              <w:t>т</w:t>
            </w:r>
            <w:r w:rsidRPr="00B8030A">
              <w:rPr>
                <w:b/>
                <w:color w:val="333333"/>
                <w:lang w:val="uk-UA"/>
              </w:rPr>
              <w:t xml:space="preserve">ип Переліку, до якого пропонується </w:t>
            </w:r>
            <w:proofErr w:type="spellStart"/>
            <w:r w:rsidRPr="00B8030A">
              <w:rPr>
                <w:b/>
                <w:color w:val="333333"/>
                <w:lang w:val="uk-UA"/>
              </w:rPr>
              <w:t>внести</w:t>
            </w:r>
            <w:proofErr w:type="spellEnd"/>
            <w:r w:rsidRPr="00B8030A">
              <w:rPr>
                <w:b/>
                <w:color w:val="333333"/>
                <w:lang w:val="uk-UA"/>
              </w:rPr>
              <w:t xml:space="preserve"> об’єкт оренди</w:t>
            </w:r>
          </w:p>
        </w:tc>
        <w:tc>
          <w:tcPr>
            <w:tcW w:w="3897" w:type="dxa"/>
          </w:tcPr>
          <w:p w:rsidR="00106533" w:rsidRPr="00B8030A" w:rsidRDefault="00106533" w:rsidP="00E776D6">
            <w:pPr>
              <w:pStyle w:val="rvps2"/>
              <w:spacing w:before="0" w:beforeAutospacing="0" w:after="0" w:afterAutospacing="0"/>
              <w:jc w:val="both"/>
              <w:rPr>
                <w:color w:val="333333"/>
                <w:lang w:val="uk-UA"/>
              </w:rPr>
            </w:pPr>
            <w:r>
              <w:rPr>
                <w:color w:val="333333"/>
                <w:lang w:val="uk-UA"/>
              </w:rPr>
              <w:t>п</w:t>
            </w:r>
            <w:r w:rsidRPr="00B8030A">
              <w:rPr>
                <w:color w:val="333333"/>
                <w:lang w:val="uk-UA"/>
              </w:rPr>
              <w:t>ерелік першого типу</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 xml:space="preserve">2.2. </w:t>
            </w:r>
          </w:p>
        </w:tc>
        <w:tc>
          <w:tcPr>
            <w:tcW w:w="4415" w:type="dxa"/>
          </w:tcPr>
          <w:p w:rsidR="00106533" w:rsidRPr="00B8030A" w:rsidRDefault="00106533" w:rsidP="00E776D6">
            <w:pPr>
              <w:pStyle w:val="rvps2"/>
              <w:spacing w:before="0" w:beforeAutospacing="0" w:after="0" w:afterAutospacing="0"/>
              <w:rPr>
                <w:b/>
                <w:color w:val="333333"/>
                <w:lang w:val="uk-UA"/>
              </w:rPr>
            </w:pPr>
            <w:r>
              <w:rPr>
                <w:b/>
                <w:color w:val="333333"/>
                <w:lang w:val="uk-UA"/>
              </w:rPr>
              <w:t>з</w:t>
            </w:r>
            <w:r w:rsidRPr="00B8030A">
              <w:rPr>
                <w:b/>
                <w:color w:val="333333"/>
                <w:lang w:val="uk-UA"/>
              </w:rPr>
              <w:t>алишкова балансова вартість та первісна балансова вартість об’єкта, якщо об’єкт включається до Переліку першого типу</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092E71">
              <w:rPr>
                <w:color w:val="333333"/>
                <w:lang w:val="uk-UA"/>
              </w:rPr>
              <w:t>у об’єкта оренди відсутня балансова вартість</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2.3.</w:t>
            </w:r>
          </w:p>
        </w:tc>
        <w:tc>
          <w:tcPr>
            <w:tcW w:w="4415" w:type="dxa"/>
          </w:tcPr>
          <w:p w:rsidR="00106533" w:rsidRPr="00B8030A" w:rsidRDefault="00106533" w:rsidP="00E776D6">
            <w:pPr>
              <w:pStyle w:val="rvps2"/>
              <w:spacing w:before="0" w:beforeAutospacing="0" w:after="0" w:afterAutospacing="0"/>
              <w:rPr>
                <w:b/>
                <w:color w:val="333333"/>
                <w:lang w:val="uk-UA"/>
              </w:rPr>
            </w:pPr>
            <w:r w:rsidRPr="00B8030A">
              <w:rPr>
                <w:b/>
                <w:color w:val="333333"/>
                <w:lang w:val="uk-UA"/>
              </w:rPr>
              <w:t>тип об’єкта</w:t>
            </w:r>
          </w:p>
        </w:tc>
        <w:tc>
          <w:tcPr>
            <w:tcW w:w="3897" w:type="dxa"/>
          </w:tcPr>
          <w:p w:rsidR="00106533" w:rsidRPr="00B8030A" w:rsidRDefault="00106533" w:rsidP="00E776D6">
            <w:pPr>
              <w:pStyle w:val="rvps2"/>
              <w:spacing w:before="0" w:beforeAutospacing="0" w:after="0" w:afterAutospacing="0"/>
              <w:jc w:val="both"/>
              <w:rPr>
                <w:color w:val="333333"/>
                <w:lang w:val="uk-UA"/>
              </w:rPr>
            </w:pPr>
            <w:r>
              <w:rPr>
                <w:color w:val="333333"/>
                <w:lang w:val="uk-UA"/>
              </w:rPr>
              <w:t>вбудоване не</w:t>
            </w:r>
            <w:r w:rsidRPr="00B8030A">
              <w:rPr>
                <w:color w:val="333333"/>
                <w:lang w:val="uk-UA"/>
              </w:rPr>
              <w:t>житлове приміщення</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 xml:space="preserve">2.4. </w:t>
            </w:r>
          </w:p>
        </w:tc>
        <w:tc>
          <w:tcPr>
            <w:tcW w:w="4415" w:type="dxa"/>
          </w:tcPr>
          <w:p w:rsidR="00106533" w:rsidRPr="00B8030A" w:rsidRDefault="00106533" w:rsidP="00E776D6">
            <w:pPr>
              <w:pStyle w:val="rvps2"/>
              <w:spacing w:before="0" w:beforeAutospacing="0" w:after="0" w:afterAutospacing="0"/>
              <w:rPr>
                <w:b/>
                <w:color w:val="333333"/>
                <w:lang w:val="uk-UA"/>
              </w:rPr>
            </w:pPr>
            <w:r w:rsidRPr="00B8030A">
              <w:rPr>
                <w:b/>
                <w:color w:val="333333"/>
                <w:lang w:val="uk-UA"/>
              </w:rPr>
              <w:t>пропонований строк оренди</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B8030A">
              <w:rPr>
                <w:color w:val="333333"/>
                <w:lang w:val="uk-UA"/>
              </w:rPr>
              <w:t>5 років</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2.5.</w:t>
            </w:r>
          </w:p>
        </w:tc>
        <w:tc>
          <w:tcPr>
            <w:tcW w:w="4415" w:type="dxa"/>
          </w:tcPr>
          <w:p w:rsidR="00106533" w:rsidRPr="00B8030A" w:rsidRDefault="00106533" w:rsidP="00E776D6">
            <w:pPr>
              <w:pStyle w:val="rvps2"/>
              <w:spacing w:before="0" w:beforeAutospacing="0" w:after="0" w:afterAutospacing="0"/>
              <w:rPr>
                <w:b/>
                <w:color w:val="333333"/>
                <w:lang w:val="uk-UA"/>
              </w:rPr>
            </w:pPr>
            <w:r w:rsidRPr="00B8030A">
              <w:rPr>
                <w:b/>
                <w:color w:val="333333"/>
                <w:lang w:val="uk-UA"/>
              </w:rPr>
              <w:t xml:space="preserve">посилання на пункт Методики розрахунку орендної плати, яким встановлена орендна ставка для </w:t>
            </w:r>
            <w:r w:rsidRPr="00B8030A">
              <w:rPr>
                <w:b/>
                <w:color w:val="333333"/>
                <w:lang w:val="uk-UA"/>
              </w:rPr>
              <w:lastRenderedPageBreak/>
              <w:t>запропонованого цільового призначення, якщо об’єкт пропонується для включення до Переліку другого типу</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B8030A">
              <w:rPr>
                <w:color w:val="333333"/>
                <w:lang w:val="uk-UA"/>
              </w:rPr>
              <w:lastRenderedPageBreak/>
              <w:t>не застосовується так, як об'єкт пропонується до включення до Переліку першого типу</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lastRenderedPageBreak/>
              <w:t xml:space="preserve">2.6. </w:t>
            </w:r>
          </w:p>
        </w:tc>
        <w:tc>
          <w:tcPr>
            <w:tcW w:w="4415" w:type="dxa"/>
          </w:tcPr>
          <w:p w:rsidR="00106533" w:rsidRPr="00B8030A" w:rsidRDefault="00106533" w:rsidP="00E776D6">
            <w:pPr>
              <w:pStyle w:val="rvps2"/>
              <w:spacing w:before="0" w:beforeAutospacing="0" w:after="0" w:afterAutospacing="0"/>
              <w:rPr>
                <w:b/>
                <w:color w:val="333333"/>
                <w:lang w:val="uk-UA"/>
              </w:rPr>
            </w:pPr>
            <w:r w:rsidRPr="00B8030A">
              <w:rPr>
                <w:b/>
                <w:color w:val="333333"/>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B8030A">
              <w:rPr>
                <w:color w:val="333333"/>
                <w:lang w:val="uk-UA"/>
              </w:rPr>
              <w:t>рішення відсутні</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2.7.</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EF1439">
              <w:rPr>
                <w:color w:val="333333"/>
                <w:lang w:val="uk-UA"/>
              </w:rPr>
              <w:t>погодження не потребується</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2.8.</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фотографічне зображення майна (відеоматеріали за наявності)</w:t>
            </w:r>
          </w:p>
        </w:tc>
        <w:tc>
          <w:tcPr>
            <w:tcW w:w="3897" w:type="dxa"/>
          </w:tcPr>
          <w:p w:rsidR="00106533" w:rsidRPr="00B8030A" w:rsidRDefault="00106533" w:rsidP="00E776D6">
            <w:pPr>
              <w:pStyle w:val="rvps2"/>
              <w:spacing w:before="0" w:beforeAutospacing="0" w:after="0" w:afterAutospacing="0"/>
              <w:jc w:val="both"/>
              <w:rPr>
                <w:color w:val="333333"/>
                <w:lang w:val="uk-UA"/>
              </w:rPr>
            </w:pPr>
            <w:r>
              <w:rPr>
                <w:color w:val="333333"/>
                <w:lang w:val="uk-UA"/>
              </w:rPr>
              <w:t>додається</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2.9.</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місцезнаходження об’єкта</w:t>
            </w:r>
          </w:p>
        </w:tc>
        <w:tc>
          <w:tcPr>
            <w:tcW w:w="3897" w:type="dxa"/>
          </w:tcPr>
          <w:p w:rsidR="00106533" w:rsidRPr="00B8030A" w:rsidRDefault="00106533" w:rsidP="00E776D6">
            <w:pPr>
              <w:pStyle w:val="rvps2"/>
              <w:spacing w:before="0" w:beforeAutospacing="0" w:after="0" w:afterAutospacing="0"/>
              <w:rPr>
                <w:color w:val="333333"/>
                <w:lang w:val="uk-UA"/>
              </w:rPr>
            </w:pPr>
            <w:r w:rsidRPr="00EF1439">
              <w:rPr>
                <w:color w:val="333333"/>
                <w:lang w:val="uk-UA"/>
              </w:rPr>
              <w:t xml:space="preserve">67806, Одеська область, Овідіопольський район, смт. Авангард, вул. </w:t>
            </w:r>
            <w:r>
              <w:rPr>
                <w:color w:val="333333"/>
                <w:lang w:val="uk-UA"/>
              </w:rPr>
              <w:t>Ангарська, 14-Р</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2.10.</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загальна і корисна площа об’єкта</w:t>
            </w:r>
          </w:p>
        </w:tc>
        <w:tc>
          <w:tcPr>
            <w:tcW w:w="3897" w:type="dxa"/>
          </w:tcPr>
          <w:p w:rsidR="00106533" w:rsidRPr="00B8030A" w:rsidRDefault="00106533" w:rsidP="00E776D6">
            <w:pPr>
              <w:pStyle w:val="rvps2"/>
              <w:spacing w:before="0" w:beforeAutospacing="0" w:after="0" w:afterAutospacing="0"/>
              <w:jc w:val="both"/>
              <w:rPr>
                <w:color w:val="333333"/>
                <w:lang w:val="uk-UA"/>
              </w:rPr>
            </w:pPr>
            <w:r>
              <w:rPr>
                <w:color w:val="333333"/>
                <w:lang w:val="uk-UA"/>
              </w:rPr>
              <w:t>158,70</w:t>
            </w:r>
            <w:r w:rsidRPr="00EF1439">
              <w:rPr>
                <w:color w:val="333333"/>
                <w:lang w:val="uk-UA"/>
              </w:rPr>
              <w:t xml:space="preserve"> </w:t>
            </w:r>
            <w:proofErr w:type="spellStart"/>
            <w:r w:rsidRPr="00EF1439">
              <w:rPr>
                <w:color w:val="333333"/>
                <w:lang w:val="uk-UA"/>
              </w:rPr>
              <w:t>кв.м</w:t>
            </w:r>
            <w:proofErr w:type="spellEnd"/>
            <w:r w:rsidRPr="00EF1439">
              <w:rPr>
                <w:color w:val="333333"/>
                <w:lang w:val="uk-UA"/>
              </w:rPr>
              <w:t>.</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2.11.</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номер поверху або поверхів)</w:t>
            </w:r>
          </w:p>
        </w:tc>
        <w:tc>
          <w:tcPr>
            <w:tcW w:w="3897" w:type="dxa"/>
          </w:tcPr>
          <w:p w:rsidR="00106533" w:rsidRPr="00B8030A" w:rsidRDefault="00106533" w:rsidP="00092E71">
            <w:pPr>
              <w:pStyle w:val="rvps2"/>
              <w:spacing w:before="0" w:beforeAutospacing="0" w:after="0" w:afterAutospacing="0"/>
              <w:rPr>
                <w:color w:val="333333"/>
                <w:lang w:val="uk-UA"/>
              </w:rPr>
            </w:pPr>
            <w:r w:rsidRPr="00CF3873">
              <w:rPr>
                <w:color w:val="333333"/>
                <w:lang w:val="uk-UA"/>
              </w:rPr>
              <w:t xml:space="preserve">приміщення знаходиться на </w:t>
            </w:r>
            <w:r>
              <w:rPr>
                <w:color w:val="333333"/>
                <w:lang w:val="uk-UA"/>
              </w:rPr>
              <w:t xml:space="preserve">першому </w:t>
            </w:r>
            <w:r w:rsidRPr="00CF3873">
              <w:rPr>
                <w:color w:val="333333"/>
                <w:lang w:val="uk-UA"/>
              </w:rPr>
              <w:t xml:space="preserve">поверсі </w:t>
            </w:r>
            <w:proofErr w:type="spellStart"/>
            <w:r w:rsidR="00092E71">
              <w:rPr>
                <w:color w:val="333333"/>
                <w:lang w:val="uk-UA"/>
              </w:rPr>
              <w:t>оно</w:t>
            </w:r>
            <w:r w:rsidRPr="00092E71">
              <w:rPr>
                <w:color w:val="333333"/>
                <w:lang w:val="uk-UA"/>
              </w:rPr>
              <w:t>поверхового</w:t>
            </w:r>
            <w:proofErr w:type="spellEnd"/>
            <w:r w:rsidRPr="00CF3873">
              <w:rPr>
                <w:color w:val="333333"/>
                <w:lang w:val="uk-UA"/>
              </w:rPr>
              <w:t xml:space="preserve"> корпусу селищного ринку</w:t>
            </w:r>
          </w:p>
        </w:tc>
      </w:tr>
      <w:tr w:rsidR="00106533" w:rsidRPr="00F11308"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2.12.</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технічний стан об’єкта, інформація про потужність електромережі і забезпечення об’єкта комунікаціями</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EF1439">
              <w:rPr>
                <w:color w:val="333333"/>
                <w:lang w:val="uk-UA"/>
              </w:rPr>
              <w:t>в приміщенні</w:t>
            </w:r>
            <w:r>
              <w:rPr>
                <w:color w:val="333333"/>
                <w:lang w:val="uk-UA"/>
              </w:rPr>
              <w:t>: опалення відсутнє; водопостачання</w:t>
            </w:r>
            <w:r w:rsidRPr="00A4098A">
              <w:rPr>
                <w:rFonts w:asciiTheme="minorHAnsi" w:eastAsiaTheme="minorHAnsi" w:hAnsiTheme="minorHAnsi" w:cstheme="minorBidi"/>
                <w:color w:val="333333"/>
                <w:sz w:val="22"/>
                <w:szCs w:val="22"/>
                <w:lang w:val="uk-UA" w:eastAsia="en-US"/>
              </w:rPr>
              <w:t xml:space="preserve"> </w:t>
            </w:r>
            <w:r w:rsidRPr="00A4098A">
              <w:rPr>
                <w:color w:val="333333"/>
                <w:lang w:val="uk-UA"/>
              </w:rPr>
              <w:t>відсутнє</w:t>
            </w:r>
            <w:r>
              <w:rPr>
                <w:color w:val="333333"/>
                <w:lang w:val="uk-UA"/>
              </w:rPr>
              <w:t>; електрика в наявності; каналізація в наявності</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2.13.</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поверховий план об’єкта або план поверх</w:t>
            </w:r>
            <w:r>
              <w:rPr>
                <w:b/>
                <w:color w:val="333333"/>
                <w:lang w:val="uk-UA"/>
              </w:rPr>
              <w:t>у</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EF1439">
              <w:rPr>
                <w:color w:val="333333"/>
                <w:lang w:val="uk-UA"/>
              </w:rPr>
              <w:t>додається</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2.14.</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EF1439">
              <w:rPr>
                <w:color w:val="333333"/>
                <w:lang w:val="uk-UA"/>
              </w:rPr>
              <w:t>об’єкт оренди не належить до пам’яток культурної спадщини</w:t>
            </w: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2.15.</w:t>
            </w:r>
          </w:p>
        </w:tc>
        <w:tc>
          <w:tcPr>
            <w:tcW w:w="4415" w:type="dxa"/>
          </w:tcPr>
          <w:p w:rsidR="00106533" w:rsidRPr="00B8030A" w:rsidRDefault="00106533" w:rsidP="00E776D6">
            <w:pPr>
              <w:pStyle w:val="rvps2"/>
              <w:spacing w:before="0" w:beforeAutospacing="0" w:after="0" w:afterAutospacing="0"/>
              <w:rPr>
                <w:b/>
                <w:color w:val="333333"/>
                <w:lang w:val="uk-UA"/>
              </w:rPr>
            </w:pPr>
            <w:r w:rsidRPr="00EF1439">
              <w:rPr>
                <w:b/>
                <w:color w:val="333333"/>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передачі в оренду державного та комунального майна, крім випадку, передбаченого абзацом сьомим пункту 29 цього Порядку (в разі відсутності такої інформації на момент її внесення), та в разі включення об’єкта до Переліку другого типу</w:t>
            </w:r>
          </w:p>
        </w:tc>
        <w:tc>
          <w:tcPr>
            <w:tcW w:w="3897" w:type="dxa"/>
          </w:tcPr>
          <w:p w:rsidR="00106533" w:rsidRPr="00E8498B" w:rsidRDefault="00106533" w:rsidP="00E776D6">
            <w:pPr>
              <w:rPr>
                <w:rFonts w:ascii="Times New Roman" w:eastAsia="Times New Roman" w:hAnsi="Times New Roman" w:cs="Times New Roman"/>
                <w:color w:val="333333"/>
                <w:sz w:val="24"/>
                <w:szCs w:val="24"/>
                <w:lang w:val="uk-UA" w:eastAsia="ru-RU"/>
              </w:rPr>
            </w:pPr>
            <w:r w:rsidRPr="00E8498B">
              <w:rPr>
                <w:rFonts w:ascii="Times New Roman" w:eastAsia="Times New Roman" w:hAnsi="Times New Roman" w:cs="Times New Roman"/>
                <w:color w:val="333333"/>
                <w:sz w:val="24"/>
                <w:szCs w:val="24"/>
                <w:lang w:val="uk-UA" w:eastAsia="ru-RU"/>
              </w:rPr>
              <w:t>Майно може бути використане Орендарем за будь-яким цільовим призначенням на розсуд Орендаря</w:t>
            </w:r>
          </w:p>
          <w:p w:rsidR="00106533" w:rsidRPr="00B8030A" w:rsidRDefault="00106533" w:rsidP="00E776D6">
            <w:pPr>
              <w:pStyle w:val="rvps2"/>
              <w:spacing w:before="0" w:beforeAutospacing="0" w:after="0" w:afterAutospacing="0"/>
              <w:jc w:val="both"/>
              <w:rPr>
                <w:color w:val="333333"/>
                <w:lang w:val="uk-UA"/>
              </w:rPr>
            </w:pPr>
          </w:p>
        </w:tc>
      </w:tr>
      <w:tr w:rsidR="00106533" w:rsidRPr="00B8030A" w:rsidTr="00E776D6">
        <w:tc>
          <w:tcPr>
            <w:tcW w:w="1033" w:type="dxa"/>
          </w:tcPr>
          <w:p w:rsidR="00106533" w:rsidRPr="00B8030A" w:rsidRDefault="00106533" w:rsidP="00E776D6">
            <w:pPr>
              <w:pStyle w:val="rvps2"/>
              <w:spacing w:before="0" w:beforeAutospacing="0" w:after="0" w:afterAutospacing="0"/>
              <w:jc w:val="both"/>
              <w:rPr>
                <w:b/>
                <w:color w:val="333333"/>
                <w:lang w:val="uk-UA"/>
              </w:rPr>
            </w:pPr>
            <w:r>
              <w:rPr>
                <w:b/>
                <w:color w:val="333333"/>
                <w:lang w:val="uk-UA"/>
              </w:rPr>
              <w:t>2.16</w:t>
            </w:r>
          </w:p>
        </w:tc>
        <w:tc>
          <w:tcPr>
            <w:tcW w:w="4415" w:type="dxa"/>
          </w:tcPr>
          <w:p w:rsidR="00106533" w:rsidRPr="00B8030A" w:rsidRDefault="00106533" w:rsidP="00E776D6">
            <w:pPr>
              <w:pStyle w:val="rvps2"/>
              <w:spacing w:before="0" w:beforeAutospacing="0" w:after="0" w:afterAutospacing="0"/>
              <w:rPr>
                <w:b/>
                <w:color w:val="333333"/>
                <w:lang w:val="uk-UA"/>
              </w:rPr>
            </w:pPr>
            <w:r w:rsidRPr="0064661D">
              <w:rPr>
                <w:b/>
                <w:color w:val="333333"/>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tc>
        <w:tc>
          <w:tcPr>
            <w:tcW w:w="3897" w:type="dxa"/>
          </w:tcPr>
          <w:p w:rsidR="00106533" w:rsidRPr="00B8030A" w:rsidRDefault="00106533" w:rsidP="00E776D6">
            <w:pPr>
              <w:pStyle w:val="rvps2"/>
              <w:spacing w:before="0" w:beforeAutospacing="0" w:after="0" w:afterAutospacing="0"/>
              <w:jc w:val="both"/>
              <w:rPr>
                <w:color w:val="333333"/>
                <w:lang w:val="uk-UA"/>
              </w:rPr>
            </w:pPr>
            <w:r w:rsidRPr="00E23327">
              <w:rPr>
                <w:color w:val="333333"/>
                <w:lang w:val="uk-UA"/>
              </w:rPr>
              <w:t>орендар відшкодовує вартість комунальних послуг орендодавцю відповідно до показників лічильника та виставленого рахунку-фактури</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3. </w:t>
            </w:r>
          </w:p>
        </w:tc>
        <w:tc>
          <w:tcPr>
            <w:tcW w:w="4415" w:type="dxa"/>
          </w:tcPr>
          <w:p w:rsidR="00106533" w:rsidRPr="0064661D" w:rsidRDefault="00106533" w:rsidP="00E776D6">
            <w:pPr>
              <w:pStyle w:val="rvps2"/>
              <w:spacing w:before="0" w:beforeAutospacing="0" w:after="0" w:afterAutospacing="0"/>
              <w:jc w:val="both"/>
              <w:rPr>
                <w:b/>
                <w:color w:val="333333"/>
                <w:lang w:val="uk-UA"/>
              </w:rPr>
            </w:pPr>
            <w:r w:rsidRPr="0064661D">
              <w:rPr>
                <w:b/>
                <w:color w:val="333333"/>
                <w:lang w:val="uk-UA"/>
              </w:rPr>
              <w:t>Проект договору оренди</w:t>
            </w:r>
          </w:p>
        </w:tc>
        <w:tc>
          <w:tcPr>
            <w:tcW w:w="3897" w:type="dxa"/>
          </w:tcPr>
          <w:p w:rsidR="00106533" w:rsidRPr="0064661D" w:rsidRDefault="00106533" w:rsidP="00E776D6">
            <w:pPr>
              <w:pStyle w:val="rvps2"/>
              <w:spacing w:before="0" w:beforeAutospacing="0" w:after="0" w:afterAutospacing="0"/>
              <w:jc w:val="both"/>
              <w:rPr>
                <w:color w:val="333333"/>
                <w:lang w:val="uk-UA"/>
              </w:rPr>
            </w:pPr>
            <w:r>
              <w:rPr>
                <w:color w:val="333333"/>
                <w:lang w:val="uk-UA"/>
              </w:rPr>
              <w:t>додається</w:t>
            </w:r>
          </w:p>
        </w:tc>
      </w:tr>
      <w:tr w:rsidR="00106533" w:rsidRPr="00B8030A" w:rsidTr="00E776D6">
        <w:tc>
          <w:tcPr>
            <w:tcW w:w="9345" w:type="dxa"/>
            <w:gridSpan w:val="3"/>
          </w:tcPr>
          <w:p w:rsidR="00106533" w:rsidRDefault="00106533" w:rsidP="00E776D6">
            <w:pPr>
              <w:pStyle w:val="rvps2"/>
              <w:spacing w:before="0" w:beforeAutospacing="0" w:after="0" w:afterAutospacing="0"/>
              <w:jc w:val="both"/>
              <w:rPr>
                <w:color w:val="333333"/>
                <w:lang w:val="uk-UA"/>
              </w:rPr>
            </w:pPr>
          </w:p>
          <w:p w:rsidR="00106533" w:rsidRPr="0064661D" w:rsidRDefault="00106533" w:rsidP="00E776D6">
            <w:pPr>
              <w:pStyle w:val="rvps2"/>
              <w:spacing w:before="0" w:beforeAutospacing="0" w:after="0" w:afterAutospacing="0"/>
              <w:jc w:val="center"/>
              <w:rPr>
                <w:color w:val="333333"/>
                <w:lang w:val="uk-UA"/>
              </w:rPr>
            </w:pPr>
            <w:r w:rsidRPr="00473317">
              <w:rPr>
                <w:b/>
                <w:color w:val="333333"/>
                <w:sz w:val="28"/>
                <w:szCs w:val="28"/>
                <w:lang w:val="uk-UA"/>
              </w:rPr>
              <w:t>4.</w:t>
            </w:r>
            <w:r w:rsidRPr="00473317">
              <w:rPr>
                <w:color w:val="333333"/>
                <w:sz w:val="28"/>
                <w:lang w:val="uk-UA"/>
              </w:rPr>
              <w:t xml:space="preserve"> </w:t>
            </w:r>
            <w:r>
              <w:rPr>
                <w:b/>
                <w:color w:val="333333"/>
                <w:sz w:val="28"/>
                <w:szCs w:val="28"/>
                <w:lang w:val="uk-UA"/>
              </w:rPr>
              <w:t>У</w:t>
            </w:r>
            <w:r w:rsidRPr="00DE699F">
              <w:rPr>
                <w:b/>
                <w:color w:val="333333"/>
                <w:sz w:val="28"/>
                <w:szCs w:val="28"/>
                <w:lang w:val="uk-UA"/>
              </w:rPr>
              <w:t>мови оренди майна та додаткові умови оренди майна (в разі наявності</w:t>
            </w:r>
          </w:p>
        </w:tc>
      </w:tr>
      <w:tr w:rsidR="00106533" w:rsidRPr="005C09C6"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4.1. </w:t>
            </w:r>
          </w:p>
        </w:tc>
        <w:tc>
          <w:tcPr>
            <w:tcW w:w="4415" w:type="dxa"/>
          </w:tcPr>
          <w:p w:rsidR="00106533" w:rsidRDefault="00106533" w:rsidP="00E776D6">
            <w:pPr>
              <w:pStyle w:val="rvps2"/>
              <w:spacing w:before="0" w:beforeAutospacing="0" w:after="0" w:afterAutospacing="0"/>
              <w:jc w:val="both"/>
              <w:rPr>
                <w:b/>
                <w:color w:val="333333"/>
                <w:lang w:val="uk-UA"/>
              </w:rPr>
            </w:pPr>
            <w:r w:rsidRPr="00473317">
              <w:rPr>
                <w:b/>
                <w:color w:val="333333"/>
                <w:lang w:val="uk-UA"/>
              </w:rPr>
              <w:t xml:space="preserve">стартова орендна плата </w:t>
            </w:r>
            <w:r>
              <w:rPr>
                <w:b/>
                <w:color w:val="333333"/>
                <w:lang w:val="uk-UA"/>
              </w:rPr>
              <w:t>для електронного аукціону</w:t>
            </w:r>
          </w:p>
          <w:p w:rsidR="00106533" w:rsidRPr="0064661D" w:rsidRDefault="00106533" w:rsidP="00E776D6">
            <w:pPr>
              <w:pStyle w:val="rvps2"/>
              <w:spacing w:before="0" w:beforeAutospacing="0" w:after="0" w:afterAutospacing="0"/>
              <w:jc w:val="both"/>
              <w:rPr>
                <w:b/>
                <w:color w:val="333333"/>
                <w:lang w:val="uk-UA"/>
              </w:rPr>
            </w:pPr>
          </w:p>
        </w:tc>
        <w:tc>
          <w:tcPr>
            <w:tcW w:w="3897" w:type="dxa"/>
          </w:tcPr>
          <w:p w:rsidR="00106533" w:rsidRPr="00823649" w:rsidRDefault="00106533" w:rsidP="00E776D6">
            <w:pPr>
              <w:pStyle w:val="rvps2"/>
              <w:spacing w:before="0" w:beforeAutospacing="0" w:after="0" w:afterAutospacing="0"/>
              <w:jc w:val="both"/>
              <w:rPr>
                <w:color w:val="333333"/>
                <w:lang w:val="uk-UA"/>
              </w:rPr>
            </w:pPr>
            <w:r w:rsidRPr="00823649">
              <w:rPr>
                <w:color w:val="333333"/>
                <w:lang w:val="uk-UA"/>
              </w:rPr>
              <w:t xml:space="preserve">визначена відповідно до пункту 52 Порядку передачі в оренду державного та комунального майна та становить 1 відсоток вартості об’єкта оренди, визначеної відповідно до статті 8 Закону України «Про оренду державного та комунального майна»: </w:t>
            </w:r>
          </w:p>
          <w:p w:rsidR="00106533" w:rsidRDefault="00092E71" w:rsidP="00092E71">
            <w:pPr>
              <w:pStyle w:val="rvps2"/>
              <w:spacing w:before="0" w:beforeAutospacing="0" w:after="0" w:afterAutospacing="0"/>
              <w:jc w:val="both"/>
              <w:rPr>
                <w:color w:val="333333"/>
                <w:lang w:val="uk-UA"/>
              </w:rPr>
            </w:pPr>
            <w:r>
              <w:rPr>
                <w:color w:val="333333"/>
                <w:lang w:val="uk-UA"/>
              </w:rPr>
              <w:t>-</w:t>
            </w:r>
            <w:r w:rsidR="0098102F">
              <w:rPr>
                <w:color w:val="333333"/>
                <w:lang w:val="uk-UA"/>
              </w:rPr>
              <w:t xml:space="preserve"> 5491 </w:t>
            </w:r>
            <w:r w:rsidR="0098102F" w:rsidRPr="00C4293D">
              <w:rPr>
                <w:color w:val="333333"/>
                <w:lang w:val="uk-UA"/>
              </w:rPr>
              <w:t>грн. 0</w:t>
            </w:r>
            <w:r w:rsidR="0098102F">
              <w:rPr>
                <w:color w:val="333333"/>
                <w:lang w:val="uk-UA"/>
              </w:rPr>
              <w:t>2</w:t>
            </w:r>
            <w:r w:rsidR="0098102F" w:rsidRPr="00C4293D">
              <w:rPr>
                <w:color w:val="333333"/>
                <w:lang w:val="uk-UA"/>
              </w:rPr>
              <w:t xml:space="preserve"> коп. (</w:t>
            </w:r>
            <w:r w:rsidR="0098102F">
              <w:rPr>
                <w:color w:val="333333"/>
                <w:lang w:val="uk-UA"/>
              </w:rPr>
              <w:t xml:space="preserve">п'ять тисяч чотириста дев'яносто одна </w:t>
            </w:r>
            <w:r w:rsidR="0098102F" w:rsidRPr="00C4293D">
              <w:rPr>
                <w:color w:val="333333"/>
                <w:lang w:val="uk-UA"/>
              </w:rPr>
              <w:t>грн 0</w:t>
            </w:r>
            <w:r w:rsidR="0098102F">
              <w:rPr>
                <w:color w:val="333333"/>
                <w:lang w:val="uk-UA"/>
              </w:rPr>
              <w:t>2</w:t>
            </w:r>
            <w:r w:rsidR="0098102F" w:rsidRPr="00C4293D">
              <w:rPr>
                <w:color w:val="333333"/>
                <w:lang w:val="uk-UA"/>
              </w:rPr>
              <w:t xml:space="preserve"> копійок)</w:t>
            </w:r>
            <w:r w:rsidR="0098102F">
              <w:rPr>
                <w:b/>
                <w:color w:val="333333"/>
                <w:lang w:val="uk-UA"/>
              </w:rPr>
              <w:t xml:space="preserve"> </w:t>
            </w:r>
            <w:r w:rsidR="0098102F">
              <w:rPr>
                <w:color w:val="333333"/>
                <w:lang w:val="uk-UA"/>
              </w:rPr>
              <w:t>без урахування ПДВ;</w:t>
            </w:r>
          </w:p>
          <w:p w:rsidR="0098102F" w:rsidRPr="00823649" w:rsidRDefault="0098102F" w:rsidP="00092E71">
            <w:pPr>
              <w:pStyle w:val="rvps2"/>
              <w:spacing w:before="0" w:beforeAutospacing="0" w:after="0" w:afterAutospacing="0"/>
              <w:jc w:val="both"/>
              <w:rPr>
                <w:color w:val="333333"/>
                <w:lang w:val="uk-UA"/>
              </w:rPr>
            </w:pPr>
            <w:r w:rsidRPr="00823649">
              <w:rPr>
                <w:color w:val="333333"/>
                <w:lang w:val="uk-UA"/>
              </w:rPr>
              <w:t xml:space="preserve">- </w:t>
            </w:r>
            <w:r>
              <w:rPr>
                <w:color w:val="333333"/>
                <w:lang w:val="uk-UA"/>
              </w:rPr>
              <w:t>6589</w:t>
            </w:r>
            <w:r w:rsidRPr="00C4293D">
              <w:rPr>
                <w:color w:val="333333"/>
                <w:lang w:val="uk-UA"/>
              </w:rPr>
              <w:t xml:space="preserve"> грн. </w:t>
            </w:r>
            <w:r>
              <w:rPr>
                <w:color w:val="333333"/>
                <w:lang w:val="uk-UA"/>
              </w:rPr>
              <w:t>22</w:t>
            </w:r>
            <w:r w:rsidRPr="00C4293D">
              <w:rPr>
                <w:color w:val="333333"/>
                <w:lang w:val="uk-UA"/>
              </w:rPr>
              <w:t xml:space="preserve"> коп. (</w:t>
            </w:r>
            <w:r>
              <w:rPr>
                <w:color w:val="333333"/>
                <w:lang w:val="uk-UA"/>
              </w:rPr>
              <w:t>шість</w:t>
            </w:r>
            <w:r w:rsidRPr="00C4293D">
              <w:rPr>
                <w:color w:val="333333"/>
                <w:lang w:val="uk-UA"/>
              </w:rPr>
              <w:t xml:space="preserve"> тисяч </w:t>
            </w:r>
            <w:r>
              <w:rPr>
                <w:color w:val="333333"/>
                <w:lang w:val="uk-UA"/>
              </w:rPr>
              <w:t xml:space="preserve">п'ятсот вісімдесят дев'ять </w:t>
            </w:r>
            <w:r w:rsidRPr="00C4293D">
              <w:rPr>
                <w:color w:val="333333"/>
                <w:lang w:val="uk-UA"/>
              </w:rPr>
              <w:t>грн 00 копійок)</w:t>
            </w:r>
            <w:r>
              <w:rPr>
                <w:color w:val="333333"/>
                <w:lang w:val="uk-UA"/>
              </w:rPr>
              <w:t xml:space="preserve"> </w:t>
            </w:r>
            <w:r w:rsidRPr="00823649">
              <w:rPr>
                <w:color w:val="333333"/>
                <w:lang w:val="uk-UA"/>
              </w:rPr>
              <w:t>з ПДВ.</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4.2.</w:t>
            </w:r>
          </w:p>
        </w:tc>
        <w:tc>
          <w:tcPr>
            <w:tcW w:w="4415" w:type="dxa"/>
          </w:tcPr>
          <w:p w:rsidR="00106533" w:rsidRPr="00473317" w:rsidRDefault="00106533" w:rsidP="00E776D6">
            <w:pPr>
              <w:pStyle w:val="rvps2"/>
              <w:spacing w:before="0" w:beforeAutospacing="0" w:after="0" w:afterAutospacing="0"/>
              <w:jc w:val="both"/>
              <w:rPr>
                <w:b/>
                <w:color w:val="333333"/>
                <w:lang w:val="uk-UA"/>
              </w:rPr>
            </w:pPr>
            <w:r w:rsidRPr="00473317">
              <w:rPr>
                <w:b/>
                <w:color w:val="333333"/>
                <w:lang w:val="uk-UA"/>
              </w:rPr>
              <w:t xml:space="preserve">стартова орендна плата </w:t>
            </w:r>
            <w:r>
              <w:rPr>
                <w:b/>
                <w:color w:val="333333"/>
                <w:lang w:val="uk-UA"/>
              </w:rPr>
              <w:t>для аукціону зі зниження стартової ціни</w:t>
            </w:r>
          </w:p>
        </w:tc>
        <w:tc>
          <w:tcPr>
            <w:tcW w:w="3897" w:type="dxa"/>
          </w:tcPr>
          <w:p w:rsidR="0098102F" w:rsidRPr="0098102F" w:rsidRDefault="0098102F" w:rsidP="0098102F">
            <w:pPr>
              <w:pStyle w:val="rvps2"/>
              <w:spacing w:after="0"/>
              <w:jc w:val="both"/>
              <w:rPr>
                <w:color w:val="333333"/>
                <w:lang w:val="uk-UA"/>
              </w:rPr>
            </w:pPr>
            <w:r w:rsidRPr="0098102F">
              <w:rPr>
                <w:color w:val="333333"/>
                <w:lang w:val="uk-UA"/>
              </w:rPr>
              <w:t>- 2745 грн. 51 коп. (дві тисячі сімсот сорок п'ять  грн. 51 копійок) без урахування ПДВ. (частина 11 статті 13 Закону  України «Про оренду державного та комунального майна»;</w:t>
            </w:r>
          </w:p>
          <w:p w:rsidR="00106533" w:rsidRPr="00823649" w:rsidRDefault="0098102F" w:rsidP="0098102F">
            <w:pPr>
              <w:pStyle w:val="rvps2"/>
              <w:spacing w:before="0" w:beforeAutospacing="0" w:after="0" w:afterAutospacing="0"/>
              <w:jc w:val="both"/>
              <w:rPr>
                <w:color w:val="333333"/>
                <w:lang w:val="uk-UA"/>
              </w:rPr>
            </w:pPr>
            <w:r w:rsidRPr="0098102F">
              <w:rPr>
                <w:color w:val="333333"/>
                <w:lang w:val="uk-UA"/>
              </w:rPr>
              <w:t>- 3294 грн. 61 коп. (три тисячі двісті дев'яносто чотири грн. 61 копійок) з ПДВ. (частина 11 статті 13 Закону  України «Про оренду державного та комунального майна».</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4.3.</w:t>
            </w:r>
          </w:p>
        </w:tc>
        <w:tc>
          <w:tcPr>
            <w:tcW w:w="4415" w:type="dxa"/>
          </w:tcPr>
          <w:p w:rsidR="00106533" w:rsidRPr="00473317" w:rsidRDefault="00106533" w:rsidP="00E776D6">
            <w:pPr>
              <w:pStyle w:val="rvps2"/>
              <w:spacing w:before="0" w:beforeAutospacing="0" w:after="0" w:afterAutospacing="0"/>
              <w:jc w:val="both"/>
              <w:rPr>
                <w:b/>
                <w:color w:val="333333"/>
                <w:lang w:val="uk-UA"/>
              </w:rPr>
            </w:pPr>
            <w:r w:rsidRPr="00473317">
              <w:rPr>
                <w:b/>
                <w:color w:val="333333"/>
                <w:lang w:val="uk-UA"/>
              </w:rPr>
              <w:t xml:space="preserve">стартова орендна плата </w:t>
            </w:r>
            <w:r>
              <w:rPr>
                <w:b/>
                <w:color w:val="333333"/>
                <w:lang w:val="uk-UA"/>
              </w:rPr>
              <w:t>для аукціону за методом покрокового зниження стартової орендної плати та подальшого подання пропозицій</w:t>
            </w:r>
          </w:p>
        </w:tc>
        <w:tc>
          <w:tcPr>
            <w:tcW w:w="3897" w:type="dxa"/>
          </w:tcPr>
          <w:p w:rsidR="00106533" w:rsidRPr="00A634CF" w:rsidRDefault="00106533" w:rsidP="0098102F">
            <w:pPr>
              <w:pStyle w:val="rvps2"/>
              <w:jc w:val="both"/>
              <w:rPr>
                <w:b/>
                <w:color w:val="333333"/>
                <w:lang w:val="uk-UA"/>
              </w:rPr>
            </w:pPr>
            <w:r w:rsidRPr="00C4293D">
              <w:rPr>
                <w:color w:val="333333"/>
                <w:lang w:val="uk-UA"/>
              </w:rPr>
              <w:t xml:space="preserve">- </w:t>
            </w:r>
            <w:r w:rsidR="009A45F5">
              <w:rPr>
                <w:color w:val="333333"/>
                <w:lang w:val="uk-UA"/>
              </w:rPr>
              <w:t>2745</w:t>
            </w:r>
            <w:r w:rsidRPr="00C4293D">
              <w:rPr>
                <w:color w:val="333333"/>
                <w:lang w:val="uk-UA"/>
              </w:rPr>
              <w:t xml:space="preserve"> грн. </w:t>
            </w:r>
            <w:r w:rsidR="009A45F5">
              <w:rPr>
                <w:color w:val="333333"/>
                <w:lang w:val="uk-UA"/>
              </w:rPr>
              <w:t>51</w:t>
            </w:r>
            <w:r w:rsidRPr="00C4293D">
              <w:rPr>
                <w:color w:val="333333"/>
                <w:lang w:val="uk-UA"/>
              </w:rPr>
              <w:t xml:space="preserve"> коп. (</w:t>
            </w:r>
            <w:r w:rsidR="009A45F5">
              <w:rPr>
                <w:color w:val="333333"/>
                <w:lang w:val="uk-UA"/>
              </w:rPr>
              <w:t>дві</w:t>
            </w:r>
            <w:r w:rsidRPr="00C4293D">
              <w:rPr>
                <w:color w:val="333333"/>
                <w:lang w:val="uk-UA"/>
              </w:rPr>
              <w:t xml:space="preserve"> тисячі </w:t>
            </w:r>
            <w:r w:rsidR="009A45F5">
              <w:rPr>
                <w:color w:val="333333"/>
                <w:lang w:val="uk-UA"/>
              </w:rPr>
              <w:t xml:space="preserve">сімсот сорок п'ять </w:t>
            </w:r>
            <w:r w:rsidRPr="00C4293D">
              <w:rPr>
                <w:color w:val="333333"/>
                <w:lang w:val="uk-UA"/>
              </w:rPr>
              <w:t xml:space="preserve"> грн</w:t>
            </w:r>
            <w:r w:rsidR="009A45F5">
              <w:rPr>
                <w:color w:val="333333"/>
                <w:lang w:val="uk-UA"/>
              </w:rPr>
              <w:t>.</w:t>
            </w:r>
            <w:r w:rsidR="009B3068">
              <w:rPr>
                <w:color w:val="333333"/>
                <w:lang w:val="uk-UA"/>
              </w:rPr>
              <w:t xml:space="preserve"> </w:t>
            </w:r>
            <w:r w:rsidR="009A45F5">
              <w:rPr>
                <w:color w:val="333333"/>
                <w:lang w:val="uk-UA"/>
              </w:rPr>
              <w:t>51</w:t>
            </w:r>
            <w:r w:rsidRPr="00C4293D">
              <w:rPr>
                <w:color w:val="333333"/>
                <w:lang w:val="uk-UA"/>
              </w:rPr>
              <w:t xml:space="preserve"> копійок)</w:t>
            </w:r>
            <w:r>
              <w:rPr>
                <w:b/>
                <w:color w:val="333333"/>
                <w:lang w:val="uk-UA"/>
              </w:rPr>
              <w:t xml:space="preserve"> </w:t>
            </w:r>
            <w:r w:rsidRPr="00C4293D">
              <w:rPr>
                <w:color w:val="333333"/>
                <w:lang w:val="uk-UA"/>
              </w:rPr>
              <w:t>без урахування ПДВ. (частина 11 статті 13 Закону  Ук</w:t>
            </w:r>
            <w:r w:rsidR="0098102F">
              <w:rPr>
                <w:color w:val="333333"/>
                <w:lang w:val="uk-UA"/>
              </w:rPr>
              <w:t xml:space="preserve">раїни «Про оренду державного та </w:t>
            </w:r>
            <w:r w:rsidRPr="00C4293D">
              <w:rPr>
                <w:color w:val="333333"/>
                <w:lang w:val="uk-UA"/>
              </w:rPr>
              <w:t>комунального майна»;</w:t>
            </w:r>
          </w:p>
          <w:p w:rsidR="00106533" w:rsidRPr="00C4293D" w:rsidRDefault="009A45F5" w:rsidP="0098102F">
            <w:pPr>
              <w:pStyle w:val="rvps2"/>
              <w:jc w:val="both"/>
              <w:rPr>
                <w:color w:val="333333"/>
                <w:lang w:val="uk-UA"/>
              </w:rPr>
            </w:pPr>
            <w:r>
              <w:rPr>
                <w:color w:val="333333"/>
                <w:lang w:val="uk-UA"/>
              </w:rPr>
              <w:t>- 3294</w:t>
            </w:r>
            <w:r w:rsidR="00106533" w:rsidRPr="00C4293D">
              <w:rPr>
                <w:color w:val="333333"/>
                <w:lang w:val="uk-UA"/>
              </w:rPr>
              <w:t xml:space="preserve"> грн. </w:t>
            </w:r>
            <w:r>
              <w:rPr>
                <w:color w:val="333333"/>
                <w:lang w:val="uk-UA"/>
              </w:rPr>
              <w:t>61</w:t>
            </w:r>
            <w:r w:rsidR="00106533" w:rsidRPr="00C4293D">
              <w:rPr>
                <w:color w:val="333333"/>
                <w:lang w:val="uk-UA"/>
              </w:rPr>
              <w:t xml:space="preserve"> коп. (</w:t>
            </w:r>
            <w:r>
              <w:rPr>
                <w:color w:val="333333"/>
                <w:lang w:val="uk-UA"/>
              </w:rPr>
              <w:t>три тисячі двісті дев'яносто чотири</w:t>
            </w:r>
            <w:r w:rsidR="00106533" w:rsidRPr="00C4293D">
              <w:rPr>
                <w:color w:val="333333"/>
                <w:lang w:val="uk-UA"/>
              </w:rPr>
              <w:t xml:space="preserve"> грн</w:t>
            </w:r>
            <w:r>
              <w:rPr>
                <w:color w:val="333333"/>
                <w:lang w:val="uk-UA"/>
              </w:rPr>
              <w:t>.</w:t>
            </w:r>
            <w:r w:rsidR="00106533" w:rsidRPr="00C4293D">
              <w:rPr>
                <w:color w:val="333333"/>
                <w:lang w:val="uk-UA"/>
              </w:rPr>
              <w:t xml:space="preserve"> </w:t>
            </w:r>
            <w:r>
              <w:rPr>
                <w:color w:val="333333"/>
                <w:lang w:val="uk-UA"/>
              </w:rPr>
              <w:t>61</w:t>
            </w:r>
            <w:r w:rsidR="00106533" w:rsidRPr="00C4293D">
              <w:rPr>
                <w:color w:val="333333"/>
                <w:lang w:val="uk-UA"/>
              </w:rPr>
              <w:t xml:space="preserve"> копійок) з ПДВ. (частина 11 статті 13 Закону  України «Про оренду державного та комунального майна».</w:t>
            </w:r>
          </w:p>
          <w:p w:rsidR="00106533" w:rsidRPr="00823649" w:rsidRDefault="00106533" w:rsidP="0098102F">
            <w:pPr>
              <w:pStyle w:val="rvps2"/>
              <w:spacing w:before="0" w:beforeAutospacing="0" w:after="0" w:afterAutospacing="0"/>
              <w:jc w:val="both"/>
              <w:rPr>
                <w:color w:val="333333"/>
                <w:lang w:val="uk-UA"/>
              </w:rPr>
            </w:pP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4.4. </w:t>
            </w:r>
          </w:p>
        </w:tc>
        <w:tc>
          <w:tcPr>
            <w:tcW w:w="4415" w:type="dxa"/>
          </w:tcPr>
          <w:p w:rsidR="00106533" w:rsidRPr="0064661D" w:rsidRDefault="00106533" w:rsidP="00E776D6">
            <w:pPr>
              <w:pStyle w:val="rvps2"/>
              <w:spacing w:before="0" w:beforeAutospacing="0" w:after="0" w:afterAutospacing="0"/>
              <w:jc w:val="both"/>
              <w:rPr>
                <w:b/>
                <w:color w:val="333333"/>
                <w:lang w:val="uk-UA"/>
              </w:rPr>
            </w:pPr>
            <w:r w:rsidRPr="00473317">
              <w:rPr>
                <w:b/>
                <w:color w:val="333333"/>
                <w:lang w:val="uk-UA"/>
              </w:rPr>
              <w:t>строк оренди</w:t>
            </w:r>
          </w:p>
        </w:tc>
        <w:tc>
          <w:tcPr>
            <w:tcW w:w="3897" w:type="dxa"/>
          </w:tcPr>
          <w:p w:rsidR="00106533" w:rsidRPr="0064661D" w:rsidRDefault="00106533" w:rsidP="00E776D6">
            <w:pPr>
              <w:pStyle w:val="rvps2"/>
              <w:spacing w:before="0" w:beforeAutospacing="0" w:after="0" w:afterAutospacing="0"/>
              <w:jc w:val="both"/>
              <w:rPr>
                <w:color w:val="333333"/>
                <w:lang w:val="uk-UA"/>
              </w:rPr>
            </w:pPr>
            <w:r w:rsidRPr="00473317">
              <w:rPr>
                <w:color w:val="333333"/>
                <w:lang w:val="uk-UA"/>
              </w:rPr>
              <w:t>5 років</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4.5.</w:t>
            </w:r>
          </w:p>
        </w:tc>
        <w:tc>
          <w:tcPr>
            <w:tcW w:w="4415" w:type="dxa"/>
          </w:tcPr>
          <w:p w:rsidR="00106533" w:rsidRPr="0064661D" w:rsidRDefault="00106533" w:rsidP="00E776D6">
            <w:pPr>
              <w:pStyle w:val="rvps2"/>
              <w:spacing w:before="0" w:beforeAutospacing="0" w:after="0" w:afterAutospacing="0"/>
              <w:rPr>
                <w:b/>
                <w:color w:val="333333"/>
                <w:lang w:val="uk-UA"/>
              </w:rPr>
            </w:pPr>
            <w:r w:rsidRPr="00473317">
              <w:rPr>
                <w:b/>
                <w:color w:val="333333"/>
                <w:lang w:val="uk-UA"/>
              </w:rPr>
              <w:t>наявність рішення уповноваженого органу про затвердження додаткових умов оренди майна</w:t>
            </w:r>
          </w:p>
        </w:tc>
        <w:tc>
          <w:tcPr>
            <w:tcW w:w="3897" w:type="dxa"/>
          </w:tcPr>
          <w:p w:rsidR="00106533" w:rsidRPr="0064661D" w:rsidRDefault="00106533" w:rsidP="00E776D6">
            <w:pPr>
              <w:pStyle w:val="rvps2"/>
              <w:spacing w:before="0" w:beforeAutospacing="0" w:after="0" w:afterAutospacing="0"/>
              <w:jc w:val="both"/>
              <w:rPr>
                <w:color w:val="333333"/>
                <w:lang w:val="uk-UA"/>
              </w:rPr>
            </w:pPr>
            <w:r w:rsidRPr="00473317">
              <w:rPr>
                <w:color w:val="333333"/>
                <w:lang w:val="uk-UA"/>
              </w:rPr>
              <w:t>додаткові умови відсутні</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4.6. </w:t>
            </w:r>
          </w:p>
        </w:tc>
        <w:tc>
          <w:tcPr>
            <w:tcW w:w="4415" w:type="dxa"/>
          </w:tcPr>
          <w:p w:rsidR="00106533" w:rsidRPr="0064661D" w:rsidRDefault="00106533" w:rsidP="00E776D6">
            <w:pPr>
              <w:pStyle w:val="rvps2"/>
              <w:spacing w:before="0" w:beforeAutospacing="0" w:after="0" w:afterAutospacing="0"/>
              <w:rPr>
                <w:b/>
                <w:color w:val="333333"/>
                <w:lang w:val="uk-UA"/>
              </w:rPr>
            </w:pPr>
            <w:r w:rsidRPr="00473317">
              <w:rPr>
                <w:b/>
                <w:color w:val="333333"/>
                <w:lang w:val="uk-UA"/>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3897" w:type="dxa"/>
          </w:tcPr>
          <w:p w:rsidR="00106533" w:rsidRPr="0064661D" w:rsidRDefault="00106533" w:rsidP="00E776D6">
            <w:pPr>
              <w:pStyle w:val="rvps2"/>
              <w:spacing w:before="0" w:beforeAutospacing="0" w:after="0" w:afterAutospacing="0"/>
              <w:jc w:val="both"/>
              <w:rPr>
                <w:color w:val="333333"/>
                <w:lang w:val="uk-UA"/>
              </w:rPr>
            </w:pPr>
            <w:r w:rsidRPr="00473317">
              <w:rPr>
                <w:color w:val="333333"/>
                <w:lang w:val="uk-UA"/>
              </w:rPr>
              <w:t>не застосовується</w:t>
            </w:r>
          </w:p>
        </w:tc>
      </w:tr>
      <w:tr w:rsidR="00106533" w:rsidRPr="00E9714D"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4.7.</w:t>
            </w:r>
          </w:p>
        </w:tc>
        <w:tc>
          <w:tcPr>
            <w:tcW w:w="4415" w:type="dxa"/>
          </w:tcPr>
          <w:p w:rsidR="00106533" w:rsidRPr="0064661D" w:rsidRDefault="00106533" w:rsidP="00E776D6">
            <w:pPr>
              <w:pStyle w:val="rvps2"/>
              <w:spacing w:before="0" w:beforeAutospacing="0" w:after="0" w:afterAutospacing="0"/>
              <w:jc w:val="both"/>
              <w:rPr>
                <w:b/>
                <w:color w:val="333333"/>
                <w:lang w:val="uk-UA"/>
              </w:rPr>
            </w:pPr>
            <w:r>
              <w:rPr>
                <w:b/>
                <w:color w:val="333333"/>
                <w:lang w:val="uk-UA"/>
              </w:rPr>
              <w:t>Додаткові відшкодування</w:t>
            </w:r>
          </w:p>
        </w:tc>
        <w:tc>
          <w:tcPr>
            <w:tcW w:w="3897" w:type="dxa"/>
          </w:tcPr>
          <w:p w:rsidR="00106533" w:rsidRDefault="00106533" w:rsidP="00E776D6">
            <w:pPr>
              <w:pStyle w:val="rvps2"/>
              <w:spacing w:before="0" w:beforeAutospacing="0" w:after="0" w:afterAutospacing="0"/>
              <w:jc w:val="both"/>
              <w:rPr>
                <w:color w:val="333333"/>
                <w:lang w:val="uk-UA"/>
              </w:rPr>
            </w:pPr>
            <w:r>
              <w:rPr>
                <w:color w:val="333333"/>
                <w:lang w:val="uk-UA"/>
              </w:rPr>
              <w:t>Орендар відшкодовує вартість проведення незалежної майна відповідно до Договору про проведення незалежної оцінки № Од 2/02 від 04.02.2021 року укладеного між Комунальним підприємством «</w:t>
            </w:r>
            <w:proofErr w:type="spellStart"/>
            <w:r>
              <w:rPr>
                <w:color w:val="333333"/>
                <w:lang w:val="uk-UA"/>
              </w:rPr>
              <w:t>Авангардкомунсервіс</w:t>
            </w:r>
            <w:proofErr w:type="spellEnd"/>
            <w:r>
              <w:rPr>
                <w:color w:val="333333"/>
                <w:lang w:val="uk-UA"/>
              </w:rPr>
              <w:t>» Авангардівської селищної ради та Українською універсальною біржою: 1 000 грн. 00 коп. (одна тисяча гривень 00 коп.)</w:t>
            </w:r>
          </w:p>
          <w:p w:rsidR="00106533" w:rsidRDefault="00106533" w:rsidP="00E776D6">
            <w:pPr>
              <w:pStyle w:val="rvps2"/>
              <w:spacing w:before="0" w:beforeAutospacing="0" w:after="0" w:afterAutospacing="0"/>
              <w:jc w:val="both"/>
              <w:rPr>
                <w:color w:val="333333"/>
                <w:lang w:val="uk-UA"/>
              </w:rPr>
            </w:pPr>
          </w:p>
          <w:p w:rsidR="00106533" w:rsidRPr="0064661D" w:rsidRDefault="0098102F" w:rsidP="0098102F">
            <w:pPr>
              <w:pStyle w:val="rvps2"/>
              <w:spacing w:before="0" w:beforeAutospacing="0" w:after="0" w:afterAutospacing="0"/>
              <w:jc w:val="both"/>
              <w:rPr>
                <w:color w:val="333333"/>
                <w:lang w:val="uk-UA"/>
              </w:rPr>
            </w:pPr>
            <w:r w:rsidRPr="00DC792C">
              <w:rPr>
                <w:lang w:val="uk-UA"/>
              </w:rPr>
              <w:t xml:space="preserve">Орендар щомісячно відшкодовує </w:t>
            </w:r>
            <w:r>
              <w:rPr>
                <w:lang w:val="uk-UA"/>
              </w:rPr>
              <w:t>Балансоутримувачу</w:t>
            </w:r>
            <w:r w:rsidRPr="00DC792C">
              <w:rPr>
                <w:lang w:val="uk-UA"/>
              </w:rPr>
              <w:t xml:space="preserve"> витрати за  користування територією та майном загального користування,  охорону території селищного ринку (витрати на нічного сторожа, на відеоспостереження, прибирання і </w:t>
            </w:r>
            <w:proofErr w:type="spellStart"/>
            <w:r w:rsidRPr="00DC792C">
              <w:rPr>
                <w:lang w:val="uk-UA"/>
              </w:rPr>
              <w:t>т.д</w:t>
            </w:r>
            <w:proofErr w:type="spellEnd"/>
            <w:r w:rsidRPr="00DC792C">
              <w:rPr>
                <w:lang w:val="uk-UA"/>
              </w:rPr>
              <w:t xml:space="preserve">.): </w:t>
            </w:r>
            <w:r>
              <w:rPr>
                <w:lang w:val="uk-UA"/>
              </w:rPr>
              <w:t>4374</w:t>
            </w:r>
            <w:r w:rsidRPr="00DC792C">
              <w:rPr>
                <w:lang w:val="uk-UA"/>
              </w:rPr>
              <w:t xml:space="preserve"> грн. </w:t>
            </w:r>
            <w:r>
              <w:rPr>
                <w:lang w:val="uk-UA"/>
              </w:rPr>
              <w:t>41</w:t>
            </w:r>
            <w:r w:rsidRPr="00DC792C">
              <w:rPr>
                <w:lang w:val="uk-UA"/>
              </w:rPr>
              <w:t xml:space="preserve"> коп. (</w:t>
            </w:r>
            <w:proofErr w:type="spellStart"/>
            <w:r>
              <w:rPr>
                <w:lang w:val="uk-UA"/>
              </w:rPr>
              <w:t>чотри</w:t>
            </w:r>
            <w:proofErr w:type="spellEnd"/>
            <w:r>
              <w:rPr>
                <w:lang w:val="uk-UA"/>
              </w:rPr>
              <w:t xml:space="preserve"> тисячі триста сімдесят чотири гривні сорок одну копійку</w:t>
            </w:r>
            <w:r w:rsidRPr="00DC792C">
              <w:rPr>
                <w:lang w:val="uk-UA"/>
              </w:rPr>
              <w:t xml:space="preserve">), у тому числі ПДВ 20 %: </w:t>
            </w:r>
            <w:r>
              <w:rPr>
                <w:lang w:val="uk-UA"/>
              </w:rPr>
              <w:t>729</w:t>
            </w:r>
            <w:r w:rsidRPr="00DC792C">
              <w:rPr>
                <w:lang w:val="uk-UA"/>
              </w:rPr>
              <w:t xml:space="preserve"> грн. </w:t>
            </w:r>
            <w:r>
              <w:rPr>
                <w:lang w:val="uk-UA"/>
              </w:rPr>
              <w:t>07</w:t>
            </w:r>
            <w:r w:rsidRPr="00DC792C">
              <w:rPr>
                <w:lang w:val="uk-UA"/>
              </w:rPr>
              <w:t xml:space="preserve"> коп. (</w:t>
            </w:r>
            <w:r>
              <w:rPr>
                <w:lang w:val="uk-UA"/>
              </w:rPr>
              <w:t>сімсот двадцять дев'ять гривень сім копійок</w:t>
            </w:r>
            <w:r w:rsidRPr="00DC792C">
              <w:rPr>
                <w:lang w:val="uk-UA"/>
              </w:rPr>
              <w:t>).</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4.8. </w:t>
            </w:r>
          </w:p>
        </w:tc>
        <w:tc>
          <w:tcPr>
            <w:tcW w:w="4415" w:type="dxa"/>
          </w:tcPr>
          <w:p w:rsidR="00106533" w:rsidRPr="0064661D" w:rsidRDefault="00106533" w:rsidP="00E776D6">
            <w:pPr>
              <w:pStyle w:val="rvps2"/>
              <w:spacing w:before="0" w:beforeAutospacing="0" w:after="0" w:afterAutospacing="0"/>
              <w:jc w:val="both"/>
              <w:rPr>
                <w:b/>
                <w:color w:val="333333"/>
                <w:lang w:val="uk-UA"/>
              </w:rPr>
            </w:pPr>
            <w:r>
              <w:rPr>
                <w:b/>
                <w:color w:val="333333"/>
                <w:lang w:val="uk-UA"/>
              </w:rPr>
              <w:t>Інше</w:t>
            </w:r>
          </w:p>
        </w:tc>
        <w:tc>
          <w:tcPr>
            <w:tcW w:w="3897" w:type="dxa"/>
          </w:tcPr>
          <w:p w:rsidR="00106533" w:rsidRDefault="00106533" w:rsidP="00E776D6">
            <w:pPr>
              <w:pStyle w:val="rvps2"/>
              <w:spacing w:before="0" w:beforeAutospacing="0" w:after="0" w:afterAutospacing="0"/>
              <w:jc w:val="both"/>
              <w:rPr>
                <w:color w:val="333333"/>
                <w:lang w:val="uk-UA"/>
              </w:rPr>
            </w:pPr>
            <w:r w:rsidRPr="001E5A44">
              <w:rPr>
                <w:color w:val="333333"/>
                <w:lang w:val="uk-UA"/>
              </w:rPr>
              <w:t>Нарахування ПДВ на суму орендної плати здійснюється у порядку, визначеному законодавством</w:t>
            </w:r>
            <w:r>
              <w:rPr>
                <w:color w:val="333333"/>
                <w:lang w:val="uk-UA"/>
              </w:rPr>
              <w:t xml:space="preserve">. </w:t>
            </w:r>
          </w:p>
          <w:p w:rsidR="00106533" w:rsidRDefault="00106533" w:rsidP="00E776D6">
            <w:pPr>
              <w:pStyle w:val="rvps2"/>
              <w:spacing w:before="0" w:beforeAutospacing="0" w:after="0" w:afterAutospacing="0"/>
              <w:jc w:val="both"/>
              <w:rPr>
                <w:color w:val="333333"/>
                <w:lang w:val="uk-UA"/>
              </w:rPr>
            </w:pPr>
          </w:p>
          <w:p w:rsidR="00106533" w:rsidRDefault="00106533" w:rsidP="00E776D6">
            <w:pPr>
              <w:pStyle w:val="rvps2"/>
              <w:spacing w:before="0" w:beforeAutospacing="0" w:after="0" w:afterAutospacing="0"/>
              <w:jc w:val="both"/>
              <w:rPr>
                <w:color w:val="333333"/>
                <w:lang w:val="uk-UA"/>
              </w:rPr>
            </w:pPr>
            <w:r>
              <w:rPr>
                <w:lang w:val="uk-UA"/>
              </w:rPr>
              <w:t>О</w:t>
            </w:r>
            <w:r w:rsidRPr="00026872">
              <w:rPr>
                <w:lang w:val="uk-UA"/>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proofErr w:type="spellStart"/>
            <w:r w:rsidRPr="000F5997">
              <w:t>Орендна</w:t>
            </w:r>
            <w:proofErr w:type="spellEnd"/>
            <w:r w:rsidRPr="000F5997">
              <w:t xml:space="preserve"> плата за </w:t>
            </w:r>
            <w:proofErr w:type="spellStart"/>
            <w:r w:rsidRPr="000F5997">
              <w:t>січень-грудень</w:t>
            </w:r>
            <w:proofErr w:type="spellEnd"/>
            <w:r w:rsidRPr="000F5997">
              <w:t xml:space="preserve"> </w:t>
            </w:r>
            <w:proofErr w:type="spellStart"/>
            <w:r w:rsidRPr="000F5997">
              <w:t>третього</w:t>
            </w:r>
            <w:proofErr w:type="spellEnd"/>
            <w:r w:rsidRPr="000F5997">
              <w:t xml:space="preserve"> року </w:t>
            </w:r>
            <w:proofErr w:type="spellStart"/>
            <w:r w:rsidRPr="000F5997">
              <w:t>оренди</w:t>
            </w:r>
            <w:proofErr w:type="spellEnd"/>
            <w:r w:rsidRPr="000F5997">
              <w:t xml:space="preserve"> і кожного </w:t>
            </w:r>
            <w:proofErr w:type="spellStart"/>
            <w:r w:rsidRPr="000F5997">
              <w:t>наступного</w:t>
            </w:r>
            <w:proofErr w:type="spellEnd"/>
            <w:r w:rsidRPr="000F5997">
              <w:t xml:space="preserve"> календарного року </w:t>
            </w:r>
            <w:proofErr w:type="spellStart"/>
            <w:r w:rsidRPr="000F5997">
              <w:t>оренди</w:t>
            </w:r>
            <w:proofErr w:type="spellEnd"/>
            <w:r w:rsidRPr="000F5997">
              <w:t xml:space="preserve"> </w:t>
            </w:r>
            <w:proofErr w:type="spellStart"/>
            <w:r w:rsidRPr="000F5997">
              <w:t>визначається</w:t>
            </w:r>
            <w:proofErr w:type="spellEnd"/>
            <w:r w:rsidRPr="000F5997">
              <w:t xml:space="preserve"> шляхом </w:t>
            </w:r>
            <w:proofErr w:type="spellStart"/>
            <w:r w:rsidRPr="000F5997">
              <w:t>коригування</w:t>
            </w:r>
            <w:proofErr w:type="spellEnd"/>
            <w:r w:rsidRPr="000F5997">
              <w:t xml:space="preserve"> </w:t>
            </w:r>
            <w:proofErr w:type="spellStart"/>
            <w:r w:rsidRPr="000F5997">
              <w:t>місячної</w:t>
            </w:r>
            <w:proofErr w:type="spellEnd"/>
            <w:r w:rsidRPr="000F5997">
              <w:t xml:space="preserve"> </w:t>
            </w:r>
            <w:proofErr w:type="spellStart"/>
            <w:r w:rsidRPr="000F5997">
              <w:t>орендної</w:t>
            </w:r>
            <w:proofErr w:type="spellEnd"/>
            <w:r w:rsidRPr="000F5997">
              <w:t xml:space="preserve"> плати, </w:t>
            </w:r>
            <w:proofErr w:type="spellStart"/>
            <w:r w:rsidRPr="000F5997">
              <w:t>що</w:t>
            </w:r>
            <w:proofErr w:type="spellEnd"/>
            <w:r w:rsidRPr="000F5997">
              <w:t xml:space="preserve"> </w:t>
            </w:r>
            <w:proofErr w:type="spellStart"/>
            <w:r w:rsidRPr="000F5997">
              <w:t>сплачувалась</w:t>
            </w:r>
            <w:proofErr w:type="spellEnd"/>
            <w:r w:rsidRPr="000F5997">
              <w:t xml:space="preserve"> у </w:t>
            </w:r>
            <w:proofErr w:type="spellStart"/>
            <w:r w:rsidRPr="000F5997">
              <w:t>попередньому</w:t>
            </w:r>
            <w:proofErr w:type="spellEnd"/>
            <w:r w:rsidRPr="000F5997">
              <w:t xml:space="preserve"> </w:t>
            </w:r>
            <w:proofErr w:type="spellStart"/>
            <w:r w:rsidRPr="000F5997">
              <w:t>році</w:t>
            </w:r>
            <w:proofErr w:type="spellEnd"/>
            <w:r w:rsidRPr="000F5997">
              <w:t xml:space="preserve">, на </w:t>
            </w:r>
            <w:proofErr w:type="spellStart"/>
            <w:r w:rsidRPr="000F5997">
              <w:t>річний</w:t>
            </w:r>
            <w:proofErr w:type="spellEnd"/>
            <w:r w:rsidRPr="000F5997">
              <w:t xml:space="preserve"> </w:t>
            </w:r>
            <w:proofErr w:type="spellStart"/>
            <w:r w:rsidRPr="000F5997">
              <w:t>індекс</w:t>
            </w:r>
            <w:proofErr w:type="spellEnd"/>
            <w:r w:rsidRPr="000F5997">
              <w:t xml:space="preserve"> </w:t>
            </w:r>
            <w:proofErr w:type="spellStart"/>
            <w:r w:rsidRPr="000F5997">
              <w:t>інфляції</w:t>
            </w:r>
            <w:proofErr w:type="spellEnd"/>
            <w:r w:rsidRPr="000F5997">
              <w:t xml:space="preserve"> такого року.</w:t>
            </w:r>
          </w:p>
          <w:p w:rsidR="00106533" w:rsidRPr="0064661D" w:rsidRDefault="00106533" w:rsidP="00E776D6">
            <w:pPr>
              <w:pStyle w:val="rvps2"/>
              <w:spacing w:before="0" w:beforeAutospacing="0" w:after="0" w:afterAutospacing="0"/>
              <w:jc w:val="both"/>
              <w:rPr>
                <w:color w:val="333333"/>
                <w:lang w:val="uk-UA"/>
              </w:rPr>
            </w:pPr>
          </w:p>
        </w:tc>
      </w:tr>
      <w:tr w:rsidR="00106533" w:rsidRPr="00042CD3"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5.</w:t>
            </w:r>
          </w:p>
        </w:tc>
        <w:tc>
          <w:tcPr>
            <w:tcW w:w="4415" w:type="dxa"/>
          </w:tcPr>
          <w:p w:rsidR="00106533" w:rsidRPr="0064661D" w:rsidRDefault="00106533" w:rsidP="00E776D6">
            <w:pPr>
              <w:pStyle w:val="rvps2"/>
              <w:spacing w:before="0" w:beforeAutospacing="0" w:after="0" w:afterAutospacing="0"/>
              <w:rPr>
                <w:b/>
                <w:color w:val="333333"/>
                <w:lang w:val="uk-UA"/>
              </w:rPr>
            </w:pPr>
            <w:r w:rsidRPr="00473317">
              <w:rPr>
                <w:b/>
                <w:color w:val="333333"/>
                <w:lang w:val="uk-UA"/>
              </w:rPr>
              <w:t>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передачі в оренду державного та комунального майна, у тому числі у випадку, передбаченому абзацом сьомим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tc>
        <w:tc>
          <w:tcPr>
            <w:tcW w:w="3897" w:type="dxa"/>
          </w:tcPr>
          <w:p w:rsidR="00106533" w:rsidRPr="00E8498B" w:rsidRDefault="00106533" w:rsidP="00E776D6">
            <w:pPr>
              <w:rPr>
                <w:rFonts w:ascii="Times New Roman" w:eastAsia="Times New Roman" w:hAnsi="Times New Roman" w:cs="Times New Roman"/>
                <w:color w:val="333333"/>
                <w:sz w:val="24"/>
                <w:szCs w:val="24"/>
                <w:lang w:val="uk-UA" w:eastAsia="ru-RU"/>
              </w:rPr>
            </w:pPr>
            <w:r w:rsidRPr="00E8498B">
              <w:rPr>
                <w:rFonts w:ascii="Times New Roman" w:eastAsia="Times New Roman" w:hAnsi="Times New Roman" w:cs="Times New Roman"/>
                <w:color w:val="333333"/>
                <w:sz w:val="24"/>
                <w:szCs w:val="24"/>
                <w:lang w:val="uk-UA" w:eastAsia="ru-RU"/>
              </w:rPr>
              <w:t>Майно може бути використане Орендарем за будь-яким цільовим призначенням на розсуд Орендаря</w:t>
            </w:r>
          </w:p>
          <w:p w:rsidR="00106533" w:rsidRPr="0064661D" w:rsidRDefault="00106533" w:rsidP="00E776D6">
            <w:pPr>
              <w:pStyle w:val="rvps2"/>
              <w:spacing w:after="0"/>
              <w:jc w:val="both"/>
              <w:rPr>
                <w:color w:val="333333"/>
                <w:lang w:val="uk-UA"/>
              </w:rPr>
            </w:pP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6. </w:t>
            </w:r>
          </w:p>
        </w:tc>
        <w:tc>
          <w:tcPr>
            <w:tcW w:w="4415" w:type="dxa"/>
          </w:tcPr>
          <w:p w:rsidR="00106533" w:rsidRPr="0064661D" w:rsidRDefault="00106533" w:rsidP="00E776D6">
            <w:pPr>
              <w:pStyle w:val="rvps2"/>
              <w:spacing w:before="0" w:beforeAutospacing="0" w:after="0" w:afterAutospacing="0"/>
              <w:rPr>
                <w:b/>
                <w:color w:val="333333"/>
                <w:lang w:val="uk-UA"/>
              </w:rPr>
            </w:pPr>
            <w:r w:rsidRPr="001E5A44">
              <w:rPr>
                <w:b/>
                <w:color w:val="333333"/>
                <w:lang w:val="uk-UA"/>
              </w:rPr>
              <w:t xml:space="preserve">інформація про необхідність відповідності орендаря вимогам статті 4 Закону  </w:t>
            </w:r>
            <w:proofErr w:type="spellStart"/>
            <w:r w:rsidRPr="001E5A44">
              <w:rPr>
                <w:b/>
                <w:color w:val="333333"/>
                <w:lang w:val="uk-UA"/>
              </w:rPr>
              <w:t>Закону</w:t>
            </w:r>
            <w:proofErr w:type="spellEnd"/>
            <w:r w:rsidRPr="001E5A44">
              <w:rPr>
                <w:b/>
                <w:color w:val="333333"/>
                <w:lang w:val="uk-UA"/>
              </w:rPr>
              <w:t xml:space="preserve"> України «Про оренду державного та комунального майна» та можливість орендаря укладати договір суборенди лише з особами, які відповідають вимогам статті 4 Закону України «Про оренду державного та комунального майна»</w:t>
            </w:r>
          </w:p>
        </w:tc>
        <w:tc>
          <w:tcPr>
            <w:tcW w:w="3897" w:type="dxa"/>
          </w:tcPr>
          <w:p w:rsidR="00106533" w:rsidRPr="0064661D" w:rsidRDefault="00106533" w:rsidP="00E776D6">
            <w:pPr>
              <w:pStyle w:val="rvps2"/>
              <w:spacing w:before="0" w:beforeAutospacing="0" w:after="0" w:afterAutospacing="0"/>
              <w:jc w:val="both"/>
              <w:rPr>
                <w:color w:val="333333"/>
                <w:lang w:val="uk-UA"/>
              </w:rPr>
            </w:pPr>
            <w:r w:rsidRPr="001E5A44">
              <w:rPr>
                <w:color w:val="333333"/>
                <w:lang w:val="uk-UA"/>
              </w:rPr>
              <w:t>орендар повинен відповідати вимогам статті 4 Закону України «Про оренду державного та комунального майна» та може укладати договір суборенди лише з особами, які відповідають вимогам статті 4 Закону України «Про оренду де</w:t>
            </w:r>
            <w:r>
              <w:rPr>
                <w:color w:val="333333"/>
                <w:lang w:val="uk-UA"/>
              </w:rPr>
              <w:t>ржавного та комунального майна»</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7. </w:t>
            </w:r>
          </w:p>
        </w:tc>
        <w:tc>
          <w:tcPr>
            <w:tcW w:w="4415" w:type="dxa"/>
          </w:tcPr>
          <w:p w:rsidR="00106533" w:rsidRPr="0064661D" w:rsidRDefault="00106533" w:rsidP="00E776D6">
            <w:pPr>
              <w:pStyle w:val="rvps2"/>
              <w:spacing w:before="0" w:beforeAutospacing="0" w:after="0" w:afterAutospacing="0"/>
              <w:rPr>
                <w:b/>
                <w:color w:val="333333"/>
                <w:lang w:val="uk-UA"/>
              </w:rPr>
            </w:pPr>
            <w:r w:rsidRPr="001E5A44">
              <w:rPr>
                <w:b/>
                <w:color w:val="333333"/>
                <w:lang w:val="uk-UA"/>
              </w:rPr>
              <w:t>копія згоди на укладення майбутнім орендарем договору суборенди, надана відповідно до пунктів 169 та 170 Порядку передачі в оренду державного та комунального майна</w:t>
            </w:r>
          </w:p>
        </w:tc>
        <w:tc>
          <w:tcPr>
            <w:tcW w:w="3897" w:type="dxa"/>
          </w:tcPr>
          <w:p w:rsidR="00106533" w:rsidRPr="0064661D" w:rsidRDefault="00106533" w:rsidP="00E776D6">
            <w:pPr>
              <w:pStyle w:val="rvps2"/>
              <w:spacing w:before="0" w:beforeAutospacing="0" w:after="0" w:afterAutospacing="0"/>
              <w:jc w:val="both"/>
              <w:rPr>
                <w:color w:val="333333"/>
                <w:lang w:val="uk-UA"/>
              </w:rPr>
            </w:pPr>
            <w:r>
              <w:rPr>
                <w:color w:val="333333"/>
                <w:lang w:val="uk-UA"/>
              </w:rPr>
              <w:t>Майно передається без права передачі в суборенду</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8.</w:t>
            </w:r>
          </w:p>
        </w:tc>
        <w:tc>
          <w:tcPr>
            <w:tcW w:w="4415" w:type="dxa"/>
          </w:tcPr>
          <w:p w:rsidR="00106533" w:rsidRPr="0064661D" w:rsidRDefault="00106533" w:rsidP="00E776D6">
            <w:pPr>
              <w:pStyle w:val="rvps2"/>
              <w:spacing w:before="0" w:beforeAutospacing="0" w:after="0" w:afterAutospacing="0"/>
              <w:jc w:val="both"/>
              <w:rPr>
                <w:b/>
                <w:color w:val="333333"/>
                <w:lang w:val="uk-UA"/>
              </w:rPr>
            </w:pPr>
            <w:r w:rsidRPr="00616818">
              <w:rPr>
                <w:b/>
                <w:color w:val="333333"/>
                <w:lang w:val="uk-UA"/>
              </w:rPr>
              <w:t>копія охоронного договору</w:t>
            </w:r>
          </w:p>
        </w:tc>
        <w:tc>
          <w:tcPr>
            <w:tcW w:w="3897" w:type="dxa"/>
          </w:tcPr>
          <w:p w:rsidR="00106533" w:rsidRPr="0064661D" w:rsidRDefault="00106533" w:rsidP="00E776D6">
            <w:pPr>
              <w:pStyle w:val="rvps2"/>
              <w:spacing w:before="0" w:beforeAutospacing="0" w:after="0" w:afterAutospacing="0"/>
              <w:jc w:val="both"/>
              <w:rPr>
                <w:color w:val="333333"/>
                <w:lang w:val="uk-UA"/>
              </w:rPr>
            </w:pPr>
            <w:r w:rsidRPr="00616818">
              <w:rPr>
                <w:color w:val="333333"/>
                <w:lang w:val="uk-UA"/>
              </w:rPr>
              <w:t>охоронний договір відсутній</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9</w:t>
            </w:r>
          </w:p>
        </w:tc>
        <w:tc>
          <w:tcPr>
            <w:tcW w:w="4415" w:type="dxa"/>
          </w:tcPr>
          <w:p w:rsidR="00106533" w:rsidRPr="0064661D" w:rsidRDefault="00106533" w:rsidP="00E776D6">
            <w:pPr>
              <w:pStyle w:val="rvps2"/>
              <w:spacing w:before="0" w:beforeAutospacing="0" w:after="0" w:afterAutospacing="0"/>
              <w:rPr>
                <w:b/>
                <w:color w:val="333333"/>
                <w:lang w:val="uk-UA"/>
              </w:rPr>
            </w:pPr>
            <w:r w:rsidRPr="00616818">
              <w:rPr>
                <w:b/>
                <w:color w:val="333333"/>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3897" w:type="dxa"/>
          </w:tcPr>
          <w:p w:rsidR="00106533" w:rsidRPr="0064661D" w:rsidRDefault="00106533" w:rsidP="00E776D6">
            <w:pPr>
              <w:pStyle w:val="rvps2"/>
              <w:spacing w:before="0" w:beforeAutospacing="0" w:after="0" w:afterAutospacing="0"/>
              <w:jc w:val="both"/>
              <w:rPr>
                <w:color w:val="333333"/>
                <w:lang w:val="uk-UA"/>
              </w:rPr>
            </w:pPr>
            <w:r w:rsidRPr="00616818">
              <w:rPr>
                <w:color w:val="333333"/>
                <w:lang w:val="uk-UA"/>
              </w:rPr>
              <w:t>контактна особа – юрисконсульт КП «</w:t>
            </w:r>
            <w:proofErr w:type="spellStart"/>
            <w:r w:rsidRPr="00616818">
              <w:rPr>
                <w:color w:val="333333"/>
                <w:lang w:val="uk-UA"/>
              </w:rPr>
              <w:t>Авангардкомунсервіс</w:t>
            </w:r>
            <w:proofErr w:type="spellEnd"/>
            <w:r w:rsidRPr="00616818">
              <w:rPr>
                <w:color w:val="333333"/>
                <w:lang w:val="uk-UA"/>
              </w:rPr>
              <w:t xml:space="preserve">» </w:t>
            </w:r>
            <w:proofErr w:type="spellStart"/>
            <w:r w:rsidRPr="00616818">
              <w:rPr>
                <w:color w:val="333333"/>
                <w:lang w:val="uk-UA"/>
              </w:rPr>
              <w:t>Рогульський</w:t>
            </w:r>
            <w:proofErr w:type="spellEnd"/>
            <w:r w:rsidRPr="00616818">
              <w:rPr>
                <w:color w:val="333333"/>
                <w:lang w:val="uk-UA"/>
              </w:rPr>
              <w:t xml:space="preserve"> Олег Іванович (</w:t>
            </w:r>
            <w:proofErr w:type="spellStart"/>
            <w:r w:rsidRPr="00616818">
              <w:rPr>
                <w:color w:val="333333"/>
                <w:lang w:val="uk-UA"/>
              </w:rPr>
              <w:t>тел</w:t>
            </w:r>
            <w:proofErr w:type="spellEnd"/>
            <w:r w:rsidRPr="00616818">
              <w:rPr>
                <w:color w:val="333333"/>
                <w:lang w:val="uk-UA"/>
              </w:rPr>
              <w:t>: (048) 704-40-14, електрона пошта: avankomser@gmail.com), для ознайомлення необхідно звертатися за адресою: 67806, Україна, Одеська область, Овідіопольський район, смт. Авангард, вул. Фруктова, 4/1, час ознайомлення з 08:00 до 17:00.</w:t>
            </w:r>
          </w:p>
        </w:tc>
      </w:tr>
      <w:tr w:rsidR="00106533" w:rsidRPr="00B8030A" w:rsidTr="00E776D6">
        <w:tc>
          <w:tcPr>
            <w:tcW w:w="9345" w:type="dxa"/>
            <w:gridSpan w:val="3"/>
          </w:tcPr>
          <w:p w:rsidR="00106533" w:rsidRDefault="00106533" w:rsidP="00E776D6">
            <w:pPr>
              <w:pStyle w:val="rvps2"/>
              <w:spacing w:before="0" w:beforeAutospacing="0" w:after="0" w:afterAutospacing="0"/>
              <w:jc w:val="center"/>
              <w:rPr>
                <w:color w:val="333333"/>
                <w:lang w:val="uk-UA"/>
              </w:rPr>
            </w:pPr>
          </w:p>
          <w:p w:rsidR="00106533" w:rsidRPr="0064661D" w:rsidRDefault="00106533" w:rsidP="00E776D6">
            <w:pPr>
              <w:pStyle w:val="rvps2"/>
              <w:spacing w:before="0" w:beforeAutospacing="0" w:after="0" w:afterAutospacing="0"/>
              <w:jc w:val="center"/>
              <w:rPr>
                <w:color w:val="333333"/>
                <w:lang w:val="uk-UA"/>
              </w:rPr>
            </w:pPr>
            <w:r w:rsidRPr="00616818">
              <w:rPr>
                <w:b/>
                <w:color w:val="333333"/>
                <w:sz w:val="28"/>
                <w:szCs w:val="28"/>
                <w:lang w:val="uk-UA"/>
              </w:rPr>
              <w:t>10.</w:t>
            </w:r>
            <w:r>
              <w:rPr>
                <w:color w:val="333333"/>
                <w:lang w:val="uk-UA"/>
              </w:rPr>
              <w:t xml:space="preserve"> </w:t>
            </w:r>
            <w:r>
              <w:rPr>
                <w:b/>
                <w:color w:val="333333"/>
                <w:sz w:val="28"/>
                <w:szCs w:val="28"/>
                <w:lang w:val="uk-UA"/>
              </w:rPr>
              <w:t>І</w:t>
            </w:r>
            <w:r w:rsidRPr="00B0110C">
              <w:rPr>
                <w:b/>
                <w:color w:val="333333"/>
                <w:sz w:val="28"/>
                <w:szCs w:val="28"/>
                <w:lang w:val="uk-UA"/>
              </w:rPr>
              <w:t>нформація про аукціон</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10.1.</w:t>
            </w:r>
          </w:p>
        </w:tc>
        <w:tc>
          <w:tcPr>
            <w:tcW w:w="4415" w:type="dxa"/>
          </w:tcPr>
          <w:p w:rsidR="00106533" w:rsidRPr="0064661D" w:rsidRDefault="00106533" w:rsidP="00E776D6">
            <w:pPr>
              <w:pStyle w:val="rvps2"/>
              <w:spacing w:before="0" w:beforeAutospacing="0" w:after="0" w:afterAutospacing="0"/>
              <w:rPr>
                <w:b/>
                <w:color w:val="333333"/>
                <w:lang w:val="uk-UA"/>
              </w:rPr>
            </w:pPr>
            <w:r>
              <w:rPr>
                <w:b/>
                <w:color w:val="333333"/>
                <w:lang w:val="uk-UA"/>
              </w:rPr>
              <w:t xml:space="preserve">Спосіб проведення </w:t>
            </w:r>
            <w:r w:rsidRPr="00616818">
              <w:rPr>
                <w:b/>
                <w:color w:val="333333"/>
                <w:lang w:val="uk-UA"/>
              </w:rPr>
              <w:t xml:space="preserve"> аукціон</w:t>
            </w:r>
            <w:r>
              <w:rPr>
                <w:b/>
                <w:color w:val="333333"/>
                <w:lang w:val="uk-UA"/>
              </w:rPr>
              <w:t>у</w:t>
            </w:r>
          </w:p>
        </w:tc>
        <w:tc>
          <w:tcPr>
            <w:tcW w:w="3897" w:type="dxa"/>
          </w:tcPr>
          <w:p w:rsidR="00106533" w:rsidRPr="0064661D" w:rsidRDefault="00106533" w:rsidP="00E776D6">
            <w:pPr>
              <w:pStyle w:val="rvps2"/>
              <w:spacing w:before="0" w:beforeAutospacing="0" w:after="0" w:afterAutospacing="0"/>
              <w:jc w:val="both"/>
              <w:rPr>
                <w:color w:val="333333"/>
                <w:lang w:val="uk-UA"/>
              </w:rPr>
            </w:pPr>
            <w:r>
              <w:rPr>
                <w:color w:val="333333"/>
                <w:lang w:val="uk-UA"/>
              </w:rPr>
              <w:t xml:space="preserve">електронний </w:t>
            </w:r>
            <w:r w:rsidRPr="00616818">
              <w:rPr>
                <w:color w:val="333333"/>
                <w:lang w:val="uk-UA"/>
              </w:rPr>
              <w:t xml:space="preserve"> аукціону</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10.2.</w:t>
            </w:r>
          </w:p>
        </w:tc>
        <w:tc>
          <w:tcPr>
            <w:tcW w:w="4415" w:type="dxa"/>
          </w:tcPr>
          <w:p w:rsidR="00106533" w:rsidRPr="00616818" w:rsidRDefault="00106533" w:rsidP="00E776D6">
            <w:pPr>
              <w:pStyle w:val="rvps2"/>
              <w:spacing w:before="0" w:beforeAutospacing="0" w:after="0" w:afterAutospacing="0"/>
              <w:rPr>
                <w:b/>
                <w:color w:val="333333"/>
                <w:lang w:val="uk-UA"/>
              </w:rPr>
            </w:pPr>
            <w:r w:rsidRPr="00616818">
              <w:rPr>
                <w:b/>
                <w:color w:val="333333"/>
                <w:lang w:val="uk-UA"/>
              </w:rPr>
              <w:t>дата проведення аукціону</w:t>
            </w:r>
          </w:p>
        </w:tc>
        <w:tc>
          <w:tcPr>
            <w:tcW w:w="3897" w:type="dxa"/>
          </w:tcPr>
          <w:p w:rsidR="00106533" w:rsidRPr="00B40A40" w:rsidRDefault="00995979" w:rsidP="00E776D6">
            <w:pPr>
              <w:pStyle w:val="rvps2"/>
              <w:spacing w:before="0" w:beforeAutospacing="0" w:after="0" w:afterAutospacing="0"/>
              <w:jc w:val="both"/>
              <w:rPr>
                <w:color w:val="333333"/>
                <w:lang w:val="uk-UA"/>
              </w:rPr>
            </w:pPr>
            <w:r>
              <w:rPr>
                <w:color w:val="333333"/>
                <w:lang w:val="uk-UA"/>
              </w:rPr>
              <w:t>04.03</w:t>
            </w:r>
            <w:r w:rsidR="00106533" w:rsidRPr="00995979">
              <w:rPr>
                <w:color w:val="333333"/>
                <w:lang w:val="uk-UA"/>
              </w:rPr>
              <w:t>.2021 року</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10.3.</w:t>
            </w:r>
          </w:p>
        </w:tc>
        <w:tc>
          <w:tcPr>
            <w:tcW w:w="4415" w:type="dxa"/>
          </w:tcPr>
          <w:p w:rsidR="00106533" w:rsidRPr="00616818" w:rsidRDefault="00106533" w:rsidP="00E776D6">
            <w:pPr>
              <w:pStyle w:val="rvps2"/>
              <w:spacing w:before="0" w:beforeAutospacing="0" w:after="0" w:afterAutospacing="0"/>
              <w:rPr>
                <w:b/>
                <w:color w:val="333333"/>
                <w:lang w:val="uk-UA"/>
              </w:rPr>
            </w:pPr>
            <w:r w:rsidRPr="00616818">
              <w:rPr>
                <w:b/>
                <w:color w:val="333333"/>
                <w:lang w:val="uk-UA"/>
              </w:rPr>
              <w:t>кінцевий строк подання заяви на участь в аукціоні</w:t>
            </w:r>
          </w:p>
        </w:tc>
        <w:tc>
          <w:tcPr>
            <w:tcW w:w="3897" w:type="dxa"/>
          </w:tcPr>
          <w:p w:rsidR="00106533" w:rsidRPr="0064661D" w:rsidRDefault="00106533" w:rsidP="00E776D6">
            <w:pPr>
              <w:pStyle w:val="rvps2"/>
              <w:spacing w:before="0" w:beforeAutospacing="0" w:after="0" w:afterAutospacing="0"/>
              <w:jc w:val="both"/>
              <w:rPr>
                <w:color w:val="333333"/>
                <w:lang w:val="uk-UA"/>
              </w:rPr>
            </w:pPr>
            <w:r>
              <w:rPr>
                <w:color w:val="333333"/>
                <w:lang w:val="uk-UA"/>
              </w:rPr>
              <w:t>к</w:t>
            </w:r>
            <w:r w:rsidRPr="00616818">
              <w:rPr>
                <w:color w:val="333333"/>
                <w:lang w:val="uk-UA"/>
              </w:rPr>
              <w:t>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106533" w:rsidRPr="00B8030A" w:rsidTr="00E776D6">
        <w:tc>
          <w:tcPr>
            <w:tcW w:w="9345" w:type="dxa"/>
            <w:gridSpan w:val="3"/>
          </w:tcPr>
          <w:p w:rsidR="00106533" w:rsidRPr="0064661D" w:rsidRDefault="00106533" w:rsidP="00E776D6">
            <w:pPr>
              <w:pStyle w:val="rvps2"/>
              <w:spacing w:before="0" w:beforeAutospacing="0" w:after="0" w:afterAutospacing="0"/>
              <w:jc w:val="center"/>
              <w:rPr>
                <w:color w:val="333333"/>
                <w:lang w:val="uk-UA"/>
              </w:rPr>
            </w:pPr>
            <w:r w:rsidRPr="00D306DE">
              <w:rPr>
                <w:b/>
                <w:color w:val="333333"/>
                <w:sz w:val="28"/>
                <w:szCs w:val="28"/>
                <w:lang w:val="uk-UA"/>
              </w:rPr>
              <w:t>11.</w:t>
            </w:r>
            <w:r>
              <w:rPr>
                <w:color w:val="333333"/>
                <w:lang w:val="uk-UA"/>
              </w:rPr>
              <w:t xml:space="preserve"> </w:t>
            </w:r>
            <w:r>
              <w:rPr>
                <w:b/>
                <w:color w:val="333333"/>
                <w:sz w:val="28"/>
                <w:szCs w:val="28"/>
                <w:lang w:val="uk-UA"/>
              </w:rPr>
              <w:t>І</w:t>
            </w:r>
            <w:r w:rsidRPr="00B0110C">
              <w:rPr>
                <w:b/>
                <w:color w:val="333333"/>
                <w:sz w:val="28"/>
                <w:szCs w:val="28"/>
                <w:lang w:val="uk-UA"/>
              </w:rPr>
              <w:t>нформація про умови, на яких проводиться аукціон</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11.1. </w:t>
            </w:r>
          </w:p>
        </w:tc>
        <w:tc>
          <w:tcPr>
            <w:tcW w:w="4415" w:type="dxa"/>
          </w:tcPr>
          <w:p w:rsidR="00106533" w:rsidRPr="00616818" w:rsidRDefault="00106533" w:rsidP="00E776D6">
            <w:pPr>
              <w:pStyle w:val="rvps2"/>
              <w:spacing w:before="0" w:beforeAutospacing="0" w:after="0" w:afterAutospacing="0"/>
              <w:rPr>
                <w:b/>
                <w:color w:val="333333"/>
                <w:lang w:val="uk-UA"/>
              </w:rPr>
            </w:pPr>
            <w:r w:rsidRPr="00D306DE">
              <w:rPr>
                <w:b/>
                <w:color w:val="333333"/>
                <w:lang w:val="uk-UA"/>
              </w:rPr>
              <w:t>розмір мінімального кроку підвищення стартової орендної плати під час аукціону</w:t>
            </w:r>
          </w:p>
        </w:tc>
        <w:tc>
          <w:tcPr>
            <w:tcW w:w="3897" w:type="dxa"/>
          </w:tcPr>
          <w:p w:rsidR="00106533" w:rsidRPr="0064661D" w:rsidRDefault="00106533" w:rsidP="00E776D6">
            <w:pPr>
              <w:pStyle w:val="rvps2"/>
              <w:spacing w:before="0" w:beforeAutospacing="0" w:after="0" w:afterAutospacing="0"/>
              <w:rPr>
                <w:color w:val="333333"/>
                <w:lang w:val="uk-UA"/>
              </w:rPr>
            </w:pPr>
            <w:r w:rsidRPr="00D306DE">
              <w:rPr>
                <w:color w:val="333333"/>
                <w:lang w:val="uk-UA"/>
              </w:rPr>
              <w:t>розмір мінімального кроку аукціону становить 1 відсоток від стартової орендної плати об’єкта оренди</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11.2. </w:t>
            </w:r>
          </w:p>
        </w:tc>
        <w:tc>
          <w:tcPr>
            <w:tcW w:w="4415" w:type="dxa"/>
          </w:tcPr>
          <w:p w:rsidR="00106533" w:rsidRPr="00616818" w:rsidRDefault="00106533" w:rsidP="00E776D6">
            <w:pPr>
              <w:pStyle w:val="rvps2"/>
              <w:spacing w:before="0" w:beforeAutospacing="0" w:after="0" w:afterAutospacing="0"/>
              <w:rPr>
                <w:b/>
                <w:color w:val="333333"/>
                <w:lang w:val="uk-UA"/>
              </w:rPr>
            </w:pPr>
            <w:r w:rsidRPr="00D306DE">
              <w:rPr>
                <w:b/>
                <w:color w:val="333333"/>
                <w:lang w:val="uk-UA"/>
              </w:rPr>
              <w:t>розмір гарантійного внеску</w:t>
            </w:r>
          </w:p>
        </w:tc>
        <w:tc>
          <w:tcPr>
            <w:tcW w:w="3897" w:type="dxa"/>
          </w:tcPr>
          <w:p w:rsidR="00106533" w:rsidRPr="0064661D" w:rsidRDefault="00106533" w:rsidP="00E776D6">
            <w:pPr>
              <w:pStyle w:val="rvps2"/>
              <w:spacing w:before="0" w:beforeAutospacing="0" w:after="0" w:afterAutospacing="0"/>
              <w:rPr>
                <w:color w:val="333333"/>
                <w:lang w:val="uk-UA"/>
              </w:rPr>
            </w:pPr>
            <w:r w:rsidRPr="00D306DE">
              <w:rPr>
                <w:color w:val="333333"/>
                <w:lang w:val="uk-UA"/>
              </w:rPr>
              <w:t>розмір гарантійного внеску становить розмір стартової орендної плати на два місяці</w:t>
            </w:r>
            <w:r>
              <w:rPr>
                <w:color w:val="333333"/>
                <w:lang w:val="uk-UA"/>
              </w:rPr>
              <w:t>, п</w:t>
            </w:r>
            <w:r w:rsidRPr="00294EAE">
              <w:rPr>
                <w:color w:val="333333"/>
                <w:lang w:val="uk-UA"/>
              </w:rPr>
              <w:t>ри цьому розмір гарантійного внеску становить не менш як 0,5 розміру мінімальної заробітної плати, встановленого с</w:t>
            </w:r>
            <w:r>
              <w:rPr>
                <w:color w:val="333333"/>
                <w:lang w:val="uk-UA"/>
              </w:rPr>
              <w:t>таном на 1 січня поточного року</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11.3.</w:t>
            </w:r>
          </w:p>
        </w:tc>
        <w:tc>
          <w:tcPr>
            <w:tcW w:w="4415" w:type="dxa"/>
          </w:tcPr>
          <w:p w:rsidR="00106533" w:rsidRPr="00616818" w:rsidRDefault="00106533" w:rsidP="00E776D6">
            <w:pPr>
              <w:pStyle w:val="rvps2"/>
              <w:spacing w:before="0" w:beforeAutospacing="0" w:after="0" w:afterAutospacing="0"/>
              <w:rPr>
                <w:b/>
                <w:color w:val="333333"/>
                <w:lang w:val="uk-UA"/>
              </w:rPr>
            </w:pPr>
            <w:r w:rsidRPr="00D306DE">
              <w:rPr>
                <w:b/>
                <w:color w:val="333333"/>
                <w:lang w:val="uk-UA"/>
              </w:rPr>
              <w:t>розмір реєстраційного внеску</w:t>
            </w:r>
          </w:p>
        </w:tc>
        <w:tc>
          <w:tcPr>
            <w:tcW w:w="3897" w:type="dxa"/>
          </w:tcPr>
          <w:p w:rsidR="00106533" w:rsidRPr="0064661D" w:rsidRDefault="00106533" w:rsidP="00E776D6">
            <w:pPr>
              <w:pStyle w:val="rvps2"/>
              <w:spacing w:before="0" w:beforeAutospacing="0" w:after="0" w:afterAutospacing="0"/>
              <w:rPr>
                <w:color w:val="333333"/>
                <w:lang w:val="uk-UA"/>
              </w:rPr>
            </w:pPr>
            <w:r w:rsidRPr="00D306DE">
              <w:rPr>
                <w:color w:val="333333"/>
                <w:lang w:val="uk-UA"/>
              </w:rPr>
              <w:t>розмір 0,1 мінімальної заробітної плати, діючої станом на 1 січня поточного року</w:t>
            </w:r>
            <w:r>
              <w:rPr>
                <w:color w:val="333333"/>
                <w:lang w:val="uk-UA"/>
              </w:rPr>
              <w:t xml:space="preserve"> </w:t>
            </w:r>
          </w:p>
        </w:tc>
      </w:tr>
      <w:tr w:rsidR="00106533" w:rsidRPr="00B8030A" w:rsidTr="00E776D6">
        <w:tc>
          <w:tcPr>
            <w:tcW w:w="9345" w:type="dxa"/>
            <w:gridSpan w:val="3"/>
          </w:tcPr>
          <w:p w:rsidR="00106533" w:rsidRDefault="00106533" w:rsidP="00E776D6">
            <w:pPr>
              <w:pStyle w:val="rvps2"/>
              <w:spacing w:before="0" w:beforeAutospacing="0" w:after="0" w:afterAutospacing="0"/>
              <w:jc w:val="center"/>
              <w:rPr>
                <w:b/>
                <w:color w:val="333333"/>
                <w:sz w:val="28"/>
                <w:szCs w:val="28"/>
                <w:lang w:val="uk-UA"/>
              </w:rPr>
            </w:pPr>
          </w:p>
          <w:p w:rsidR="00106533" w:rsidRDefault="00106533" w:rsidP="00E776D6">
            <w:pPr>
              <w:pStyle w:val="rvps2"/>
              <w:spacing w:before="0" w:beforeAutospacing="0" w:after="0" w:afterAutospacing="0"/>
              <w:jc w:val="center"/>
              <w:rPr>
                <w:b/>
                <w:color w:val="333333"/>
                <w:sz w:val="28"/>
                <w:szCs w:val="28"/>
                <w:lang w:val="uk-UA"/>
              </w:rPr>
            </w:pPr>
            <w:r>
              <w:rPr>
                <w:b/>
                <w:color w:val="333333"/>
                <w:sz w:val="28"/>
                <w:szCs w:val="28"/>
                <w:lang w:val="uk-UA"/>
              </w:rPr>
              <w:t>12. Д</w:t>
            </w:r>
            <w:r w:rsidRPr="00641620">
              <w:rPr>
                <w:b/>
                <w:color w:val="333333"/>
                <w:sz w:val="28"/>
                <w:szCs w:val="28"/>
                <w:lang w:val="uk-UA"/>
              </w:rPr>
              <w:t>одаткова інформація</w:t>
            </w:r>
          </w:p>
          <w:p w:rsidR="00106533" w:rsidRPr="0064661D" w:rsidRDefault="00106533" w:rsidP="00E776D6">
            <w:pPr>
              <w:pStyle w:val="rvps2"/>
              <w:spacing w:before="0" w:beforeAutospacing="0" w:after="0" w:afterAutospacing="0"/>
              <w:jc w:val="center"/>
              <w:rPr>
                <w:color w:val="333333"/>
                <w:lang w:val="uk-UA"/>
              </w:rPr>
            </w:pP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12.1. </w:t>
            </w:r>
          </w:p>
        </w:tc>
        <w:tc>
          <w:tcPr>
            <w:tcW w:w="4415" w:type="dxa"/>
          </w:tcPr>
          <w:p w:rsidR="00106533" w:rsidRPr="00616818" w:rsidRDefault="00106533" w:rsidP="00E776D6">
            <w:pPr>
              <w:pStyle w:val="rvps2"/>
              <w:spacing w:before="0" w:beforeAutospacing="0" w:after="0" w:afterAutospacing="0"/>
              <w:rPr>
                <w:b/>
                <w:color w:val="333333"/>
                <w:lang w:val="uk-UA"/>
              </w:rPr>
            </w:pPr>
            <w:r w:rsidRPr="009E32EA">
              <w:rPr>
                <w:b/>
                <w:color w:val="333333"/>
                <w:lang w:val="uk-UA"/>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w:t>
            </w:r>
            <w:proofErr w:type="spellStart"/>
            <w:r w:rsidRPr="009E32EA">
              <w:rPr>
                <w:b/>
                <w:color w:val="333333"/>
                <w:lang w:val="uk-UA"/>
              </w:rPr>
              <w:t>сайта</w:t>
            </w:r>
            <w:proofErr w:type="spellEnd"/>
            <w:r w:rsidRPr="009E32EA">
              <w:rPr>
                <w:b/>
                <w:color w:val="333333"/>
                <w:lang w:val="uk-UA"/>
              </w:rPr>
              <w:t xml:space="preserve"> адміністратора, на якій зазначені реквізити таких рахунків)</w:t>
            </w:r>
          </w:p>
        </w:tc>
        <w:tc>
          <w:tcPr>
            <w:tcW w:w="3897" w:type="dxa"/>
          </w:tcPr>
          <w:p w:rsidR="00106533" w:rsidRPr="009E32EA" w:rsidRDefault="00106533" w:rsidP="00E776D6">
            <w:pPr>
              <w:pStyle w:val="rvps2"/>
              <w:spacing w:after="0"/>
              <w:rPr>
                <w:color w:val="333333"/>
                <w:lang w:val="uk-UA"/>
              </w:rPr>
            </w:pPr>
            <w:r>
              <w:rPr>
                <w:color w:val="333333"/>
                <w:lang w:val="uk-UA"/>
              </w:rPr>
              <w:t>П</w:t>
            </w:r>
            <w:r w:rsidRPr="009E32EA">
              <w:rPr>
                <w:color w:val="333333"/>
                <w:lang w:val="uk-UA"/>
              </w:rPr>
              <w:t xml:space="preserve">ерерахування гарантійних та реєстраційних внесків здійснюється на поточний рахунок організатора відкритих торгів (аукціонів), на електронному майданчику якого зареєструвався учасник. </w:t>
            </w:r>
          </w:p>
          <w:p w:rsidR="00106533" w:rsidRPr="0064661D" w:rsidRDefault="00106533" w:rsidP="00E776D6">
            <w:pPr>
              <w:pStyle w:val="rvps2"/>
              <w:spacing w:before="0" w:beforeAutospacing="0" w:after="0" w:afterAutospacing="0"/>
              <w:rPr>
                <w:color w:val="333333"/>
                <w:lang w:val="uk-UA"/>
              </w:rPr>
            </w:pPr>
            <w:r w:rsidRPr="009E32EA">
              <w:rPr>
                <w:color w:val="333333"/>
                <w:lang w:val="uk-UA"/>
              </w:rPr>
              <w:t xml:space="preserve">Перелік операторів електронних майданчиків та їх банківські реквізити для перерахунку гарантійних та реєстраційних внесків доступні за посиланням: </w:t>
            </w:r>
            <w:hyperlink r:id="rId4" w:history="1">
              <w:r w:rsidRPr="00197D7B">
                <w:rPr>
                  <w:rStyle w:val="a3"/>
                  <w:lang w:val="uk-UA"/>
                </w:rPr>
                <w:t>https://prozorro.sale/info/elektronni-majdanchiki-ets-prozorroprodazhi-cbd2</w:t>
              </w:r>
            </w:hyperlink>
            <w:r>
              <w:rPr>
                <w:color w:val="333333"/>
                <w:lang w:val="uk-UA"/>
              </w:rPr>
              <w:t xml:space="preserve"> </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12.2.</w:t>
            </w:r>
          </w:p>
        </w:tc>
        <w:tc>
          <w:tcPr>
            <w:tcW w:w="4415" w:type="dxa"/>
          </w:tcPr>
          <w:p w:rsidR="00106533" w:rsidRPr="00616818" w:rsidRDefault="00106533" w:rsidP="00E776D6">
            <w:pPr>
              <w:pStyle w:val="rvps2"/>
              <w:spacing w:before="0" w:beforeAutospacing="0" w:after="0" w:afterAutospacing="0"/>
              <w:rPr>
                <w:b/>
                <w:color w:val="333333"/>
                <w:lang w:val="uk-UA"/>
              </w:rPr>
            </w:pPr>
            <w:r w:rsidRPr="009E32EA">
              <w:rPr>
                <w:b/>
                <w:color w:val="333333"/>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3897" w:type="dxa"/>
          </w:tcPr>
          <w:p w:rsidR="00106533" w:rsidRDefault="00106533" w:rsidP="00E776D6">
            <w:pPr>
              <w:pStyle w:val="rvps2"/>
              <w:spacing w:after="0"/>
              <w:rPr>
                <w:color w:val="333333"/>
                <w:lang w:val="uk-UA"/>
              </w:rPr>
            </w:pPr>
            <w:r w:rsidRPr="000730FB">
              <w:rPr>
                <w:color w:val="333333"/>
                <w:lang w:val="uk-UA"/>
              </w:rPr>
              <w:t>Р/</w:t>
            </w:r>
            <w:r>
              <w:rPr>
                <w:color w:val="333333"/>
                <w:lang w:val="uk-UA"/>
              </w:rPr>
              <w:t>р</w:t>
            </w:r>
            <w:r w:rsidRPr="000730FB">
              <w:rPr>
                <w:color w:val="333333"/>
                <w:lang w:val="uk-UA"/>
              </w:rPr>
              <w:t xml:space="preserve"> № </w:t>
            </w:r>
            <w:r>
              <w:rPr>
                <w:lang w:val="en-US"/>
              </w:rPr>
              <w:t>UA</w:t>
            </w:r>
            <w:r w:rsidRPr="001C5F05">
              <w:t xml:space="preserve"> </w:t>
            </w:r>
            <w:r>
              <w:t>783288450000026009300172791</w:t>
            </w:r>
            <w:r w:rsidRPr="00D678F5">
              <w:t xml:space="preserve"> </w:t>
            </w:r>
            <w:r w:rsidRPr="000730FB">
              <w:rPr>
                <w:color w:val="333333"/>
                <w:lang w:val="uk-UA"/>
              </w:rPr>
              <w:t xml:space="preserve">в ПАТ «Державний ощадний банк України» </w:t>
            </w:r>
            <w:r>
              <w:rPr>
                <w:color w:val="333333"/>
                <w:lang w:val="uk-UA"/>
              </w:rPr>
              <w:t xml:space="preserve">Одеська філія ТВБВ №10015/0534, </w:t>
            </w:r>
            <w:r w:rsidRPr="000730FB">
              <w:rPr>
                <w:color w:val="333333"/>
                <w:lang w:val="uk-UA"/>
              </w:rPr>
              <w:t>МФО – 328845</w:t>
            </w:r>
            <w:r>
              <w:rPr>
                <w:color w:val="333333"/>
                <w:lang w:val="uk-UA"/>
              </w:rPr>
              <w:t>.</w:t>
            </w:r>
          </w:p>
          <w:p w:rsidR="00106533" w:rsidRPr="0064661D" w:rsidRDefault="00106533" w:rsidP="00E776D6">
            <w:pPr>
              <w:pStyle w:val="rvps2"/>
              <w:spacing w:after="0"/>
              <w:rPr>
                <w:color w:val="333333"/>
                <w:lang w:val="uk-UA"/>
              </w:rPr>
            </w:pPr>
            <w:r>
              <w:rPr>
                <w:color w:val="333333"/>
                <w:lang w:val="uk-UA"/>
              </w:rPr>
              <w:t xml:space="preserve">Адреса банку: </w:t>
            </w:r>
            <w:r w:rsidRPr="000730FB">
              <w:rPr>
                <w:color w:val="333333"/>
                <w:lang w:val="uk-UA"/>
              </w:rPr>
              <w:t>смт, вул. Ангарська, буд.14-Р, Авангард, Одеська область, 67806</w:t>
            </w:r>
          </w:p>
        </w:tc>
      </w:tr>
      <w:tr w:rsidR="00106533" w:rsidRPr="00B8030A" w:rsidTr="00E776D6">
        <w:tc>
          <w:tcPr>
            <w:tcW w:w="9345" w:type="dxa"/>
            <w:gridSpan w:val="3"/>
          </w:tcPr>
          <w:p w:rsidR="00106533" w:rsidRPr="000730FB" w:rsidRDefault="00106533" w:rsidP="00E776D6">
            <w:pPr>
              <w:pStyle w:val="rvps2"/>
              <w:spacing w:before="0" w:beforeAutospacing="0" w:after="0" w:afterAutospacing="0"/>
              <w:jc w:val="center"/>
              <w:rPr>
                <w:b/>
                <w:color w:val="333333"/>
                <w:sz w:val="28"/>
                <w:szCs w:val="28"/>
                <w:lang w:val="uk-UA"/>
              </w:rPr>
            </w:pPr>
            <w:r w:rsidRPr="000730FB">
              <w:rPr>
                <w:b/>
                <w:color w:val="333333"/>
                <w:sz w:val="28"/>
                <w:szCs w:val="28"/>
                <w:lang w:val="uk-UA"/>
              </w:rPr>
              <w:t>1</w:t>
            </w:r>
            <w:r>
              <w:rPr>
                <w:b/>
                <w:color w:val="333333"/>
                <w:sz w:val="28"/>
                <w:szCs w:val="28"/>
                <w:lang w:val="uk-UA"/>
              </w:rPr>
              <w:t>3</w:t>
            </w:r>
            <w:r w:rsidRPr="000730FB">
              <w:rPr>
                <w:b/>
                <w:color w:val="333333"/>
                <w:sz w:val="28"/>
                <w:szCs w:val="28"/>
                <w:lang w:val="uk-UA"/>
              </w:rPr>
              <w:t xml:space="preserve">. </w:t>
            </w:r>
            <w:r>
              <w:rPr>
                <w:b/>
                <w:color w:val="333333"/>
                <w:sz w:val="28"/>
                <w:szCs w:val="28"/>
                <w:lang w:val="uk-UA"/>
              </w:rPr>
              <w:t>Т</w:t>
            </w:r>
            <w:r w:rsidRPr="000730FB">
              <w:rPr>
                <w:b/>
                <w:color w:val="333333"/>
                <w:sz w:val="28"/>
                <w:szCs w:val="28"/>
                <w:lang w:val="uk-UA"/>
              </w:rPr>
              <w:t>ехнічні реквізити оголошення</w:t>
            </w:r>
          </w:p>
        </w:tc>
      </w:tr>
      <w:tr w:rsidR="00106533" w:rsidRPr="00B8030A"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13.1.</w:t>
            </w:r>
          </w:p>
        </w:tc>
        <w:tc>
          <w:tcPr>
            <w:tcW w:w="4415" w:type="dxa"/>
          </w:tcPr>
          <w:p w:rsidR="00106533" w:rsidRPr="00616818" w:rsidRDefault="00106533" w:rsidP="00E776D6">
            <w:pPr>
              <w:pStyle w:val="rvps2"/>
              <w:spacing w:before="0" w:beforeAutospacing="0" w:after="0" w:afterAutospacing="0"/>
              <w:rPr>
                <w:b/>
                <w:color w:val="333333"/>
                <w:lang w:val="uk-UA"/>
              </w:rPr>
            </w:pPr>
            <w:r w:rsidRPr="000730FB">
              <w:rPr>
                <w:b/>
                <w:color w:val="333333"/>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3897" w:type="dxa"/>
          </w:tcPr>
          <w:p w:rsidR="00106533" w:rsidRPr="0064661D" w:rsidRDefault="00106533" w:rsidP="00E776D6">
            <w:pPr>
              <w:pStyle w:val="rvps2"/>
              <w:spacing w:before="0" w:beforeAutospacing="0" w:after="0" w:afterAutospacing="0"/>
              <w:rPr>
                <w:color w:val="333333"/>
                <w:lang w:val="uk-UA"/>
              </w:rPr>
            </w:pPr>
            <w:r w:rsidRPr="000730FB">
              <w:rPr>
                <w:color w:val="333333"/>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106533" w:rsidRPr="005C09C6" w:rsidTr="00E776D6">
        <w:tc>
          <w:tcPr>
            <w:tcW w:w="1033" w:type="dxa"/>
          </w:tcPr>
          <w:p w:rsidR="00106533" w:rsidRDefault="00106533" w:rsidP="00E776D6">
            <w:pPr>
              <w:pStyle w:val="rvps2"/>
              <w:spacing w:before="0" w:beforeAutospacing="0" w:after="0" w:afterAutospacing="0"/>
              <w:jc w:val="both"/>
              <w:rPr>
                <w:b/>
                <w:color w:val="333333"/>
                <w:lang w:val="uk-UA"/>
              </w:rPr>
            </w:pPr>
            <w:r>
              <w:rPr>
                <w:b/>
                <w:color w:val="333333"/>
                <w:lang w:val="uk-UA"/>
              </w:rPr>
              <w:t xml:space="preserve">13.2. </w:t>
            </w:r>
          </w:p>
        </w:tc>
        <w:tc>
          <w:tcPr>
            <w:tcW w:w="4415" w:type="dxa"/>
          </w:tcPr>
          <w:p w:rsidR="00106533" w:rsidRPr="00616818" w:rsidRDefault="00106533" w:rsidP="00E776D6">
            <w:pPr>
              <w:pStyle w:val="rvps2"/>
              <w:spacing w:before="0" w:beforeAutospacing="0" w:after="0" w:afterAutospacing="0"/>
              <w:rPr>
                <w:b/>
                <w:color w:val="333333"/>
                <w:lang w:val="uk-UA"/>
              </w:rPr>
            </w:pPr>
            <w:r w:rsidRPr="000730FB">
              <w:rPr>
                <w:b/>
                <w:color w:val="333333"/>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3897" w:type="dxa"/>
          </w:tcPr>
          <w:p w:rsidR="00106533" w:rsidRPr="0064661D" w:rsidRDefault="005C09C6" w:rsidP="00E776D6">
            <w:pPr>
              <w:pStyle w:val="rvps2"/>
              <w:spacing w:before="0" w:beforeAutospacing="0" w:after="0" w:afterAutospacing="0"/>
              <w:rPr>
                <w:color w:val="333333"/>
                <w:lang w:val="uk-UA"/>
              </w:rPr>
            </w:pPr>
            <w:hyperlink r:id="rId5" w:history="1">
              <w:r w:rsidR="00106533" w:rsidRPr="00197D7B">
                <w:rPr>
                  <w:rStyle w:val="a3"/>
                  <w:lang w:val="uk-UA"/>
                </w:rPr>
                <w:t>https://prozorro.sale/info/elektronni-majdanchiki-ets-prozorroprodazhi-cbd2</w:t>
              </w:r>
            </w:hyperlink>
            <w:r w:rsidR="00106533">
              <w:rPr>
                <w:color w:val="333333"/>
                <w:lang w:val="uk-UA"/>
              </w:rPr>
              <w:t xml:space="preserve"> </w:t>
            </w:r>
          </w:p>
        </w:tc>
      </w:tr>
    </w:tbl>
    <w:p w:rsidR="00106533" w:rsidRDefault="00106533" w:rsidP="00106533">
      <w:pPr>
        <w:spacing w:after="0"/>
        <w:jc w:val="center"/>
        <w:rPr>
          <w:rFonts w:ascii="Times New Roman" w:hAnsi="Times New Roman" w:cs="Times New Roman"/>
          <w:b/>
          <w:sz w:val="28"/>
          <w:szCs w:val="28"/>
          <w:lang w:val="uk-UA"/>
        </w:rPr>
      </w:pPr>
    </w:p>
    <w:p w:rsidR="00106533" w:rsidRDefault="00106533" w:rsidP="00106533">
      <w:pPr>
        <w:spacing w:after="0"/>
        <w:jc w:val="center"/>
        <w:rPr>
          <w:rFonts w:ascii="Times New Roman" w:hAnsi="Times New Roman" w:cs="Times New Roman"/>
          <w:b/>
          <w:sz w:val="28"/>
          <w:szCs w:val="28"/>
          <w:lang w:val="uk-UA"/>
        </w:rPr>
      </w:pPr>
    </w:p>
    <w:p w:rsidR="00106533" w:rsidRDefault="00106533" w:rsidP="00106533">
      <w:pPr>
        <w:spacing w:after="0"/>
        <w:jc w:val="center"/>
        <w:rPr>
          <w:rFonts w:ascii="Times New Roman" w:hAnsi="Times New Roman" w:cs="Times New Roman"/>
          <w:b/>
          <w:sz w:val="28"/>
          <w:szCs w:val="28"/>
          <w:lang w:val="uk-UA"/>
        </w:rPr>
      </w:pPr>
    </w:p>
    <w:p w:rsidR="00106533" w:rsidRDefault="00106533" w:rsidP="00106533">
      <w:pPr>
        <w:pStyle w:val="rvps2"/>
        <w:shd w:val="clear" w:color="auto" w:fill="FFFFFF"/>
        <w:spacing w:before="0" w:beforeAutospacing="0" w:after="0" w:afterAutospacing="0"/>
        <w:jc w:val="both"/>
        <w:rPr>
          <w:b/>
          <w:color w:val="333333"/>
          <w:lang w:val="uk-UA"/>
        </w:rPr>
      </w:pPr>
      <w:r>
        <w:rPr>
          <w:b/>
          <w:color w:val="333333"/>
          <w:lang w:val="uk-UA"/>
        </w:rPr>
        <w:t xml:space="preserve">Юрисконсульт Комунального підприємства </w:t>
      </w:r>
    </w:p>
    <w:p w:rsidR="00106533" w:rsidRDefault="00106533" w:rsidP="00106533">
      <w:pPr>
        <w:pStyle w:val="rvps2"/>
        <w:shd w:val="clear" w:color="auto" w:fill="FFFFFF"/>
        <w:spacing w:before="0" w:beforeAutospacing="0" w:after="0" w:afterAutospacing="0"/>
        <w:jc w:val="both"/>
        <w:rPr>
          <w:b/>
          <w:color w:val="333333"/>
          <w:lang w:val="uk-UA"/>
        </w:rPr>
      </w:pPr>
      <w:r>
        <w:rPr>
          <w:b/>
          <w:color w:val="333333"/>
          <w:lang w:val="uk-UA"/>
        </w:rPr>
        <w:t>«</w:t>
      </w:r>
      <w:proofErr w:type="spellStart"/>
      <w:r>
        <w:rPr>
          <w:b/>
          <w:color w:val="333333"/>
          <w:lang w:val="uk-UA"/>
        </w:rPr>
        <w:t>Авангардкомунсервіс</w:t>
      </w:r>
      <w:proofErr w:type="spellEnd"/>
      <w:r>
        <w:rPr>
          <w:b/>
          <w:color w:val="333333"/>
          <w:lang w:val="uk-UA"/>
        </w:rPr>
        <w:t xml:space="preserve">» </w:t>
      </w:r>
    </w:p>
    <w:p w:rsidR="00106533" w:rsidRPr="007C479F" w:rsidRDefault="00106533" w:rsidP="00106533">
      <w:pPr>
        <w:pStyle w:val="rvps2"/>
        <w:shd w:val="clear" w:color="auto" w:fill="FFFFFF"/>
        <w:spacing w:before="0" w:beforeAutospacing="0" w:after="0" w:afterAutospacing="0"/>
        <w:jc w:val="both"/>
        <w:rPr>
          <w:b/>
          <w:sz w:val="28"/>
          <w:szCs w:val="28"/>
          <w:lang w:val="uk-UA"/>
        </w:rPr>
      </w:pPr>
      <w:r>
        <w:rPr>
          <w:b/>
          <w:color w:val="333333"/>
          <w:lang w:val="uk-UA"/>
        </w:rPr>
        <w:t>Авангардівської селищної ради                                                             Олег РОГУЛЬСЬКИЙ</w:t>
      </w:r>
    </w:p>
    <w:p w:rsidR="003E01ED" w:rsidRPr="00106533" w:rsidRDefault="003E01ED">
      <w:pPr>
        <w:rPr>
          <w:lang w:val="uk-UA"/>
        </w:rPr>
      </w:pPr>
    </w:p>
    <w:sectPr w:rsidR="003E01ED" w:rsidRPr="00106533" w:rsidSect="000D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33"/>
    <w:rsid w:val="00092E71"/>
    <w:rsid w:val="00106533"/>
    <w:rsid w:val="001E6230"/>
    <w:rsid w:val="003E01ED"/>
    <w:rsid w:val="005C09C6"/>
    <w:rsid w:val="0098102F"/>
    <w:rsid w:val="00995979"/>
    <w:rsid w:val="009A45F5"/>
    <w:rsid w:val="009B3068"/>
    <w:rsid w:val="00E9714D"/>
    <w:rsid w:val="00ED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3C5F"/>
  <w15:chartTrackingRefBased/>
  <w15:docId w15:val="{10E43DC7-434F-49D9-B77F-C98D7C9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06533"/>
    <w:rPr>
      <w:color w:val="0000FF"/>
      <w:u w:val="single"/>
    </w:rPr>
  </w:style>
  <w:style w:type="table" w:styleId="a4">
    <w:name w:val="Table Grid"/>
    <w:basedOn w:val="a1"/>
    <w:uiPriority w:val="39"/>
    <w:rsid w:val="0010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62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2021-02-10T13:45:00Z</cp:lastPrinted>
  <dcterms:created xsi:type="dcterms:W3CDTF">2021-02-10T13:46:00Z</dcterms:created>
  <dcterms:modified xsi:type="dcterms:W3CDTF">2021-02-11T09:01:00Z</dcterms:modified>
</cp:coreProperties>
</file>