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92" w:rsidRDefault="001D4592" w:rsidP="007131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Pr="004D396C" w:rsidRDefault="0071311F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71311F" w:rsidRDefault="0071311F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B83E74" w:rsidRPr="00B83E74">
        <w:rPr>
          <w:rFonts w:ascii="Times New Roman" w:hAnsi="Times New Roman"/>
          <w:sz w:val="28"/>
          <w:szCs w:val="28"/>
          <w:lang w:val="uk-UA" w:eastAsia="ru-RU"/>
        </w:rPr>
        <w:t xml:space="preserve">Установки силосної (250тн)687/7Т45 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>– інвентарний №</w:t>
      </w:r>
      <w:r w:rsidR="00B83E74" w:rsidRPr="00B83E74">
        <w:rPr>
          <w:rFonts w:ascii="Times New Roman" w:hAnsi="Times New Roman"/>
          <w:sz w:val="28"/>
          <w:szCs w:val="28"/>
          <w:lang w:val="uk-UA" w:eastAsia="ru-RU"/>
        </w:rPr>
        <w:t xml:space="preserve"> ШПО327056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, 2014 рік </w:t>
      </w:r>
      <w:r w:rsidR="00B83E74">
        <w:rPr>
          <w:rFonts w:ascii="Times New Roman" w:hAnsi="Times New Roman"/>
          <w:sz w:val="28"/>
          <w:szCs w:val="28"/>
          <w:lang w:val="uk-UA" w:eastAsia="ru-RU"/>
        </w:rPr>
        <w:t>вводу в експлуатацію</w:t>
      </w:r>
    </w:p>
    <w:p w:rsidR="00C94456" w:rsidRDefault="00C94456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1D4592" w:rsidRPr="00FC73A0" w:rsidRDefault="001D4592" w:rsidP="00FC73A0">
      <w:pPr>
        <w:spacing w:after="0" w:line="240" w:lineRule="auto"/>
        <w:jc w:val="center"/>
        <w:outlineLvl w:val="0"/>
        <w:rPr>
          <w:rFonts w:ascii="Times New Roman" w:hAnsi="Times New Roman"/>
          <w:bCs/>
          <w:noProof/>
          <w:sz w:val="28"/>
          <w:szCs w:val="28"/>
          <w:u w:val="single"/>
          <w:lang w:val="uk-U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802E4A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802E4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34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ПРИВАТНЕ АКЦІОНЕРНЕ ТОВАРИСТВО "АНТОНІНСЬКЕ ХЛІБОПРИЙМАЛЬНЕ ПІДПРИЄМСТВО"</w:t>
            </w:r>
          </w:p>
        </w:tc>
      </w:tr>
      <w:tr w:rsidR="0071311F" w:rsidRPr="00802E4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31026, Хмельницька обл.,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Красилівський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Кременчуки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 ВУЛИЦЯ ВОКЗАЛЬНА, будинок 1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Мороз Олександр Юрійович (Згідно статуту)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341C10" w:rsidRPr="00341C10">
              <w:rPr>
                <w:shd w:val="clear" w:color="auto" w:fill="FFFFFF"/>
              </w:rPr>
              <w:t>Ковальчук Олексій Іванович</w:t>
            </w:r>
          </w:p>
          <w:p w:rsidR="00182897" w:rsidRPr="00FC73A0" w:rsidRDefault="00D87817" w:rsidP="00FC7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+380980387078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</w:tc>
      </w:tr>
      <w:tr w:rsidR="0071311F" w:rsidRPr="00802E4A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802E4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802E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5A24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B83E74" w:rsidRPr="00B83E7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Установка силосна (250тн)687/7Т45 – інвентарний № ШПО327056, 2014 рік вводу в експлуатацію</w:t>
            </w:r>
          </w:p>
        </w:tc>
      </w:tr>
      <w:tr w:rsidR="0071311F" w:rsidRPr="00802E4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B83E74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3E7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Установка силосна (250тн)687/7Т45 – інвентарний № ШПО327056, 2014 рік вводу в експлуатацію</w:t>
            </w:r>
          </w:p>
        </w:tc>
      </w:tr>
      <w:tr w:rsidR="0071311F" w:rsidRPr="005056D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5D28AB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Майно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знаходиться за адресою: </w:t>
            </w:r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31026, Хмельницька обл.,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Красилівський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 село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Кременчуки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, ВУЛИЦЯ ВОКЗАЛЬНА, будинок 1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>При собі мати паспорт для посвідчення особи. Фотографування заборонено.</w:t>
            </w:r>
          </w:p>
        </w:tc>
      </w:tr>
      <w:tr w:rsidR="0071311F" w:rsidRPr="00802E4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B83E74" w:rsidRPr="00B83E7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214208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802E4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802E4A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802E4A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802E4A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802E4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802E4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копію паспорта та 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за підписом керівника у довільній формі про відсутність по відношенню до учасника аукціону (його </w:t>
            </w:r>
            <w:proofErr w:type="spellStart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бенефіціарів</w:t>
            </w:r>
            <w:proofErr w:type="spellEnd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) обмежувальних заходів (санкцій), що вжиті держа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вою Україна, органами ООН, OFAC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802E4A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802E4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327FDC">
              <w:rPr>
                <w:color w:val="000000"/>
                <w:lang w:val="uk-UA"/>
              </w:rPr>
              <w:t>п</w:t>
            </w:r>
            <w:proofErr w:type="gramEnd"/>
            <w:r w:rsidRPr="00327FDC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802E4A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802E4A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3702FB"/>
    <w:rsid w:val="00065186"/>
    <w:rsid w:val="000D43B5"/>
    <w:rsid w:val="00121B06"/>
    <w:rsid w:val="00140BE8"/>
    <w:rsid w:val="00170991"/>
    <w:rsid w:val="00182897"/>
    <w:rsid w:val="001D4592"/>
    <w:rsid w:val="001D651C"/>
    <w:rsid w:val="001E3B10"/>
    <w:rsid w:val="00341C10"/>
    <w:rsid w:val="00356739"/>
    <w:rsid w:val="003702FB"/>
    <w:rsid w:val="003B5BCA"/>
    <w:rsid w:val="00476C1F"/>
    <w:rsid w:val="00482CA6"/>
    <w:rsid w:val="00487FEE"/>
    <w:rsid w:val="005056D9"/>
    <w:rsid w:val="00554F72"/>
    <w:rsid w:val="00580F92"/>
    <w:rsid w:val="005A24EE"/>
    <w:rsid w:val="005D28AB"/>
    <w:rsid w:val="0063306A"/>
    <w:rsid w:val="00685C2F"/>
    <w:rsid w:val="006A70D8"/>
    <w:rsid w:val="0071311F"/>
    <w:rsid w:val="007A38AE"/>
    <w:rsid w:val="007B6888"/>
    <w:rsid w:val="00800D3D"/>
    <w:rsid w:val="00802E4A"/>
    <w:rsid w:val="008616A6"/>
    <w:rsid w:val="00897005"/>
    <w:rsid w:val="008E3917"/>
    <w:rsid w:val="00912156"/>
    <w:rsid w:val="0093787D"/>
    <w:rsid w:val="009A2A1C"/>
    <w:rsid w:val="009E23AA"/>
    <w:rsid w:val="00A05540"/>
    <w:rsid w:val="00A24738"/>
    <w:rsid w:val="00A66609"/>
    <w:rsid w:val="00AC0693"/>
    <w:rsid w:val="00B83E74"/>
    <w:rsid w:val="00B96AD8"/>
    <w:rsid w:val="00BB51EF"/>
    <w:rsid w:val="00BE5AEC"/>
    <w:rsid w:val="00C579AD"/>
    <w:rsid w:val="00C94456"/>
    <w:rsid w:val="00C94CDB"/>
    <w:rsid w:val="00CA69CB"/>
    <w:rsid w:val="00CD2D5A"/>
    <w:rsid w:val="00D42850"/>
    <w:rsid w:val="00D87817"/>
    <w:rsid w:val="00DF3D72"/>
    <w:rsid w:val="00EA0C9F"/>
    <w:rsid w:val="00ED5803"/>
    <w:rsid w:val="00F13003"/>
    <w:rsid w:val="00F21838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2021-03-31T13:27:00Z</cp:lastPrinted>
  <dcterms:created xsi:type="dcterms:W3CDTF">2021-03-31T14:18:00Z</dcterms:created>
  <dcterms:modified xsi:type="dcterms:W3CDTF">2021-04-12T12:25:00Z</dcterms:modified>
</cp:coreProperties>
</file>