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Управління з питань комунальної власності та житла Броварської міської ради Київської області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ЄДРПОУ: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24209727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07400, Київська область, місто Бровари, бульвар Незалежності, 2,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начальника управління Маковського Володимира Миколайовича,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Положення,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однієї сторони,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(повне найменування орендаря)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</w:t>
      </w:r>
      <w:proofErr w:type="gramStart"/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(посада,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ізвище, ім'я, по батькові)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діє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ідставі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5C32CA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другої сторони, та</w:t>
      </w:r>
    </w:p>
    <w:p w:rsidR="006B6EC6" w:rsidRPr="005C32CA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комунальне підприємство Броварської міської ради Київської області «Житлово-експлуатаційна контора – </w:t>
      </w:r>
      <w:r w:rsidR="002406B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2</w:t>
      </w: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», </w:t>
      </w:r>
      <w:r w:rsidR="006B6EC6" w:rsidRP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    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код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ЄДРПОУ: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2406B0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38337179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07400, Київська область, місто Бровари, вулиця </w:t>
      </w:r>
      <w:r w:rsidR="002406B0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Володимира Великого, 10,</w:t>
      </w:r>
      <w:r w:rsid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Pr="0091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БАЛАНСОУТРИМУВАЧ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директора 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Якубовської Ірини Анатоліївни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діє на підставі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Статуту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третьої сторони що іменуються разом - Сторони, уклали цей договір про нижченаведене: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БАЛАНСОУТРИМУВАЧ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</w:t>
      </w:r>
      <w:proofErr w:type="gramStart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ОРЕНДАР приймає в оренду 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нежитлове приміщення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№ 1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 житловому будинку, площею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13,0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кв.м., за адресою: Київська область, місто Бровари,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вулиця Володимира Великого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буд. </w:t>
      </w:r>
      <w:r w:rsidR="002406B0" w:rsidRPr="002406B0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1</w:t>
      </w:r>
      <w:r w:rsidR="002406B0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належить до комунальної власності територіальної громади міста Бровари, далі - об'єкт оренди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ізним цільовим призначенням вказується площа по кожному виду цільового призначення окремо;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(1)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  <w:t xml:space="preserve">.2.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w w:val="10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жну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а (в разі передачі майна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відповідно до ч.4 ст.8 Закону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та Порядку передачі в оренду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lastRenderedPageBreak/>
        <w:t>комунального майна територіальної громади м. Бровари)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становить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406B0" w:rsidRPr="00C51887">
        <w:rPr>
          <w:rFonts w:ascii="Times New Roman" w:hAnsi="Times New Roman" w:cs="Times New Roman"/>
          <w:sz w:val="21"/>
          <w:szCs w:val="21"/>
          <w:lang w:val="uk-UA"/>
        </w:rPr>
        <w:t>109 366,14</w:t>
      </w:r>
      <w:r w:rsidR="002406B0" w:rsidRPr="00C51887">
        <w:rPr>
          <w:rFonts w:ascii="Times New Roman" w:hAnsi="Times New Roman" w:cs="Times New Roman"/>
          <w:sz w:val="21"/>
          <w:szCs w:val="21"/>
        </w:rPr>
        <w:t xml:space="preserve"> </w:t>
      </w:r>
      <w:r w:rsidR="00911C55">
        <w:rPr>
          <w:rFonts w:ascii="Times New Roman" w:hAnsi="Times New Roman" w:cs="Times New Roman"/>
          <w:sz w:val="21"/>
          <w:szCs w:val="21"/>
          <w:lang w:val="uk-UA"/>
        </w:rPr>
        <w:t>грн.</w:t>
      </w:r>
      <w:r w:rsidR="00911C55" w:rsidRPr="0026508D">
        <w:rPr>
          <w:rFonts w:ascii="Times New Roman" w:hAnsi="Times New Roman" w:cs="Times New Roman"/>
          <w:sz w:val="21"/>
          <w:szCs w:val="21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(сума грн., без ПДВ).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ювач: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ФОП І.Г. Яковенко.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11C5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31.12.2020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а: 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.01.2021р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Рецензент: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консалтингова компанія ПП «САНТ-2000»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рецензії 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.01.2021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bCs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ртість: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2406B0" w:rsidRPr="00C51887">
        <w:rPr>
          <w:rFonts w:ascii="Times New Roman" w:hAnsi="Times New Roman" w:cs="Times New Roman"/>
          <w:sz w:val="21"/>
          <w:szCs w:val="21"/>
          <w:lang w:val="uk-UA"/>
        </w:rPr>
        <w:t>109 366,14</w:t>
      </w:r>
      <w:r w:rsidR="002406B0" w:rsidRPr="00C51887">
        <w:rPr>
          <w:rFonts w:ascii="Times New Roman" w:hAnsi="Times New Roman" w:cs="Times New Roman"/>
          <w:sz w:val="21"/>
          <w:szCs w:val="21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911C55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1.5. 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__________________с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53703" wp14:editId="2D3C23AA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7216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3105B9" wp14:editId="2EB589A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6192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proofErr w:type="gramEnd"/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______________________ (сума прописом) гривень,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 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ісцевого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рахунок, відкритий в Державній казначейській службі України, або на рахунок Орендодавця, відповідно до Методики розрахунку орендної плати територіальної громади м. Бровари,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 вистав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наченням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ісцевого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ту.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уг. 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ч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ує о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ату</w:t>
      </w:r>
      <w:r w:rsidRPr="00990140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 </w:t>
      </w:r>
      <w:r w:rsidR="00911C55"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два 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мі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ц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(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в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ий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 з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ої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ати)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в сумі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uk-UA" w:eastAsia="ru-RU"/>
        </w:rPr>
        <w:t>_________________ (___________________)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грн.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____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 (в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місцевому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жету) 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proofErr w:type="gramEnd"/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Орендодавцю/Ба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 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Start"/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етвер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давцю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/Балансоутримувачу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 дві місячні орендні пати.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(підписання акту)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ці кошти у розмі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100% перераховуються до місцевого бюджету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місцевим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етом 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вачем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ісяцевого бюджету або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ча/Орендодавця;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="002406B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 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="00CA4D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CA4D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рішення виконавчого комітету Броварської міської ради 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БАЛАНСОУТРИМУВАЧА І ОРЕНДОДАВЦЯ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9.1.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атив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овжи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сь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ачені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lastRenderedPageBreak/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заяви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вірну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комунального майна територіальної громади м. Бровари,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 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12.7.4.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які не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статті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али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 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алансоу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13.12.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комунального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веб порталі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gramStart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gramEnd"/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і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</w:t>
      </w:r>
    </w:p>
    <w:p w:rsid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E53D21" w:rsidRPr="00AF5F1D" w:rsidRDefault="00E53D21" w:rsidP="00E5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10"/>
      </w:tblGrid>
      <w:tr w:rsidR="00E53D21" w:rsidTr="005507D2">
        <w:tc>
          <w:tcPr>
            <w:tcW w:w="5070" w:type="dxa"/>
          </w:tcPr>
          <w:p w:rsidR="00E53D21" w:rsidRPr="00C8095E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E53D21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>
              <w:rPr>
                <w:sz w:val="22"/>
                <w:szCs w:val="22"/>
                <w:lang w:val="uk-UA"/>
              </w:rPr>
              <w:t>24209727</w:t>
            </w:r>
          </w:p>
          <w:p w:rsidR="00E53D21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E53D21" w:rsidRPr="00C8095E" w:rsidRDefault="00E53D21" w:rsidP="005507D2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E53D21" w:rsidRDefault="00E53D21" w:rsidP="00550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E53D21" w:rsidRPr="00636916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E53D21" w:rsidRPr="0060758B" w:rsidTr="005507D2">
        <w:tc>
          <w:tcPr>
            <w:tcW w:w="5070" w:type="dxa"/>
          </w:tcPr>
          <w:p w:rsidR="00E53D21" w:rsidRDefault="00E53D21" w:rsidP="00550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«БАЛАНСОУТРИМУВАЧ»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</w:t>
            </w:r>
            <w:r>
              <w:rPr>
                <w:sz w:val="22"/>
                <w:szCs w:val="22"/>
                <w:lang w:val="uk-UA"/>
              </w:rPr>
              <w:t>итлово-експлуатаційна контора - 2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E53D21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>
              <w:rPr>
                <w:sz w:val="22"/>
                <w:szCs w:val="22"/>
                <w:lang w:val="uk-UA"/>
              </w:rPr>
              <w:t>38337179</w:t>
            </w:r>
          </w:p>
          <w:p w:rsidR="00E53D21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вулиця Володимира Великого, 10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Телефон: (04594) 5-31-43</w:t>
            </w:r>
          </w:p>
          <w:p w:rsidR="00E53D21" w:rsidRPr="0060758B" w:rsidRDefault="00E53D21" w:rsidP="005507D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>
              <w:rPr>
                <w:sz w:val="22"/>
                <w:szCs w:val="22"/>
                <w:lang w:val="uk-UA"/>
              </w:rPr>
              <w:t>Ірина ЯКУБОВСЬКА</w:t>
            </w:r>
          </w:p>
          <w:p w:rsidR="00E53D21" w:rsidRPr="00151997" w:rsidRDefault="00E53D21" w:rsidP="005507D2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E53D21" w:rsidRPr="00151997" w:rsidRDefault="00E53D21" w:rsidP="005507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53D21" w:rsidRDefault="00E53D21" w:rsidP="005507D2">
            <w:pPr>
              <w:jc w:val="center"/>
              <w:rPr>
                <w:b/>
                <w:lang w:val="uk-UA"/>
              </w:rPr>
            </w:pPr>
          </w:p>
          <w:p w:rsidR="00E53D21" w:rsidRPr="00C8095E" w:rsidRDefault="00E53D21" w:rsidP="00550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E53D21" w:rsidRDefault="00E53D21" w:rsidP="005507D2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</w:tbl>
    <w:p w:rsidR="009447BF" w:rsidRPr="00E53D21" w:rsidRDefault="009447BF"/>
    <w:sectPr w:rsidR="009447BF" w:rsidRPr="00E5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2406B0"/>
    <w:rsid w:val="0034257F"/>
    <w:rsid w:val="005C32CA"/>
    <w:rsid w:val="006B6EC6"/>
    <w:rsid w:val="00911C55"/>
    <w:rsid w:val="009447BF"/>
    <w:rsid w:val="00990140"/>
    <w:rsid w:val="00C408A0"/>
    <w:rsid w:val="00CA4D0A"/>
    <w:rsid w:val="00E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2021-02-04T09:42:00Z</dcterms:created>
  <dcterms:modified xsi:type="dcterms:W3CDTF">2021-02-04T11:45:00Z</dcterms:modified>
</cp:coreProperties>
</file>