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proofErr w:type="spellStart"/>
      <w:r w:rsidRPr="00960E57">
        <w:t>корп</w:t>
      </w:r>
      <w:proofErr w:type="spellEnd"/>
      <w:r w:rsidRPr="00960E57">
        <w:t xml:space="preserve">.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 xml:space="preserve">за </w:t>
      </w:r>
      <w:proofErr w:type="gramStart"/>
      <w:r w:rsidR="00960E57" w:rsidRPr="00960E57">
        <w:t>м</w:t>
      </w:r>
      <w:proofErr w:type="gramEnd"/>
      <w:r w:rsidR="00960E57" w:rsidRPr="00960E57">
        <w:t>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F86633"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46EC944F" w14:textId="7C7FD82A" w:rsidR="00F86633" w:rsidRDefault="00F86633" w:rsidP="00BA14B9">
      <w:pPr>
        <w:numPr>
          <w:ilvl w:val="2"/>
          <w:numId w:val="5"/>
        </w:numPr>
        <w:autoSpaceDE w:val="0"/>
        <w:autoSpaceDN w:val="0"/>
        <w:adjustRightInd w:val="0"/>
        <w:ind w:left="0" w:firstLine="567"/>
        <w:jc w:val="both"/>
      </w:pPr>
      <w:r>
        <w:rPr>
          <w:lang w:eastAsia="uk-UA"/>
        </w:rPr>
        <w:t>Забезпечувати дотримання вимог законодавства з питань пожежної безпеки, протипожежних вимог стандартів, норм, правил, а також виконання вимог приписів і постанов Державної служби України з надзвичайної ситуації та вимог Сектору пожежної безпеки ПАТ «Укрпошта».</w:t>
      </w:r>
    </w:p>
    <w:p w14:paraId="11DDA665" w14:textId="77777777" w:rsidR="00F86633" w:rsidRDefault="00F86633" w:rsidP="00BA14B9">
      <w:pPr>
        <w:numPr>
          <w:ilvl w:val="2"/>
          <w:numId w:val="5"/>
        </w:numPr>
        <w:autoSpaceDE w:val="0"/>
        <w:autoSpaceDN w:val="0"/>
        <w:adjustRightInd w:val="0"/>
        <w:ind w:left="0" w:firstLine="567"/>
        <w:jc w:val="both"/>
      </w:pPr>
      <w:r>
        <w:rPr>
          <w:lang w:eastAsia="uk-UA"/>
        </w:rPr>
        <w:t>Утримувати у справному стані засоби протипожежного захисту і зв’язку, не допускати використання не за призначенням пожежного обладнання та інвентаря.</w:t>
      </w:r>
    </w:p>
    <w:p w14:paraId="5A8FA267" w14:textId="77777777" w:rsidR="002A648F" w:rsidRDefault="00F86633" w:rsidP="00BA14B9">
      <w:pPr>
        <w:numPr>
          <w:ilvl w:val="2"/>
          <w:numId w:val="5"/>
        </w:numPr>
        <w:autoSpaceDE w:val="0"/>
        <w:autoSpaceDN w:val="0"/>
        <w:adjustRightInd w:val="0"/>
        <w:ind w:left="0" w:firstLine="567"/>
        <w:jc w:val="both"/>
      </w:pPr>
      <w:r>
        <w:rPr>
          <w:lang w:eastAsia="uk-UA"/>
        </w:rPr>
        <w:t>Початок використання Орендарем Майна (будівель, споруд, приміщень або їх частин, взятих в оренду), згідно ст.57 Кодексу цивільного захисту України, здійснювати на підставі поданої декларації відповідності матеріально-технічної бази суб’єкта господарювання (Майна)вимогам законодавства з питань пожежної безпеки, а для суб’єктів господарювання з високим ступенем ризику – також за наявності позити</w:t>
      </w:r>
      <w:r w:rsidR="002A648F">
        <w:rPr>
          <w:lang w:eastAsia="uk-UA"/>
        </w:rPr>
        <w:t xml:space="preserve">вного </w:t>
      </w:r>
      <w:r w:rsidR="002A648F">
        <w:rPr>
          <w:lang w:eastAsia="uk-UA"/>
        </w:rPr>
        <w:lastRenderedPageBreak/>
        <w:t>висновку за результатами оцінки (експертизи) протипожежного стану Майна, взятого в оренду.</w:t>
      </w:r>
    </w:p>
    <w:p w14:paraId="2B9900E2" w14:textId="27C399BF" w:rsidR="002A648F" w:rsidRDefault="002A648F" w:rsidP="00BA14B9">
      <w:pPr>
        <w:numPr>
          <w:ilvl w:val="2"/>
          <w:numId w:val="5"/>
        </w:numPr>
        <w:autoSpaceDE w:val="0"/>
        <w:autoSpaceDN w:val="0"/>
        <w:adjustRightInd w:val="0"/>
        <w:ind w:left="0" w:firstLine="567"/>
        <w:jc w:val="both"/>
      </w:pPr>
      <w:r>
        <w:rPr>
          <w:lang w:eastAsia="uk-UA"/>
        </w:rPr>
        <w:t>Не допускати самовільного втручання в конструктивні елементи будівлі та проводити самостійно перепланування приміщень Майна без згоди Орендодавця та проектної документації, яка повинна пройти експертизу ДСНС України.</w:t>
      </w:r>
    </w:p>
    <w:p w14:paraId="50F4CCD4" w14:textId="26A75E41" w:rsidR="00960E57" w:rsidRPr="002A648F" w:rsidRDefault="00F86633" w:rsidP="002A648F">
      <w:pPr>
        <w:autoSpaceDE w:val="0"/>
        <w:autoSpaceDN w:val="0"/>
        <w:adjustRightInd w:val="0"/>
        <w:ind w:firstLine="567"/>
        <w:jc w:val="both"/>
      </w:pPr>
      <w:r w:rsidRPr="002A648F">
        <w:rPr>
          <w:lang w:eastAsia="uk-UA"/>
        </w:rPr>
        <w:t xml:space="preserve">  </w:t>
      </w:r>
      <w:r w:rsidR="002A648F">
        <w:rPr>
          <w:lang w:eastAsia="uk-UA"/>
        </w:rPr>
        <w:t xml:space="preserve">6.1.7. </w:t>
      </w:r>
      <w:r w:rsidR="00960E57" w:rsidRPr="002A648F">
        <w:t>Своєчасно і в повному обсязі вносити Орендну плату та інші платежі, передбачені цим Договором.</w:t>
      </w:r>
    </w:p>
    <w:p w14:paraId="5A62C605" w14:textId="574FAB0A" w:rsidR="00960E57" w:rsidRPr="002A648F" w:rsidRDefault="00960E57" w:rsidP="002A648F">
      <w:pPr>
        <w:pStyle w:val="aff3"/>
        <w:numPr>
          <w:ilvl w:val="2"/>
          <w:numId w:val="20"/>
        </w:numPr>
        <w:autoSpaceDE w:val="0"/>
        <w:autoSpaceDN w:val="0"/>
        <w:adjustRightInd w:val="0"/>
        <w:spacing w:after="0"/>
        <w:ind w:left="0" w:firstLine="566"/>
        <w:jc w:val="both"/>
        <w:rPr>
          <w:rFonts w:ascii="Times New Roman" w:hAnsi="Times New Roman"/>
          <w:sz w:val="24"/>
          <w:szCs w:val="24"/>
        </w:rPr>
      </w:pPr>
      <w:r w:rsidRPr="002A648F">
        <w:rPr>
          <w:rFonts w:ascii="Times New Roman" w:hAnsi="Times New Roman"/>
          <w:sz w:val="24"/>
          <w:szCs w:val="24"/>
        </w:rPr>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2A648F">
        <w:rPr>
          <w:rFonts w:ascii="Times New Roman" w:hAnsi="Times New Roman"/>
          <w:i/>
          <w:iCs/>
          <w:sz w:val="24"/>
          <w:szCs w:val="24"/>
        </w:rPr>
        <w:t>)</w:t>
      </w:r>
      <w:r w:rsidRPr="002A648F">
        <w:rPr>
          <w:rFonts w:ascii="Times New Roman" w:hAnsi="Times New Roman"/>
          <w:sz w:val="24"/>
          <w:szCs w:val="24"/>
        </w:rPr>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481FA364" w:rsidR="00960E57" w:rsidRPr="002A648F" w:rsidRDefault="00960E57" w:rsidP="002A648F">
      <w:pPr>
        <w:pStyle w:val="aff3"/>
        <w:numPr>
          <w:ilvl w:val="2"/>
          <w:numId w:val="20"/>
        </w:numPr>
        <w:autoSpaceDE w:val="0"/>
        <w:autoSpaceDN w:val="0"/>
        <w:adjustRightInd w:val="0"/>
        <w:spacing w:after="0"/>
        <w:ind w:left="0" w:firstLine="566"/>
        <w:jc w:val="both"/>
        <w:rPr>
          <w:rFonts w:ascii="Times New Roman" w:hAnsi="Times New Roman"/>
          <w:sz w:val="24"/>
          <w:szCs w:val="24"/>
        </w:rPr>
      </w:pPr>
      <w:r w:rsidRPr="002A648F">
        <w:rPr>
          <w:rFonts w:ascii="Times New Roman" w:hAnsi="Times New Roman"/>
          <w:sz w:val="24"/>
          <w:szCs w:val="24"/>
        </w:rPr>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6C69EA69" w:rsidR="00960E57" w:rsidRPr="002A648F" w:rsidRDefault="00960E57" w:rsidP="002A648F">
      <w:pPr>
        <w:pStyle w:val="aff3"/>
        <w:numPr>
          <w:ilvl w:val="2"/>
          <w:numId w:val="20"/>
        </w:numPr>
        <w:autoSpaceDE w:val="0"/>
        <w:autoSpaceDN w:val="0"/>
        <w:adjustRightInd w:val="0"/>
        <w:spacing w:after="0"/>
        <w:ind w:left="0" w:firstLine="566"/>
        <w:jc w:val="both"/>
        <w:rPr>
          <w:rFonts w:ascii="Times New Roman" w:hAnsi="Times New Roman"/>
          <w:sz w:val="24"/>
          <w:szCs w:val="24"/>
        </w:rPr>
      </w:pPr>
      <w:r w:rsidRPr="002A648F">
        <w:rPr>
          <w:rFonts w:ascii="Times New Roman" w:hAnsi="Times New Roman"/>
          <w:sz w:val="24"/>
          <w:szCs w:val="24"/>
        </w:rPr>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2A648F">
      <w:pPr>
        <w:numPr>
          <w:ilvl w:val="2"/>
          <w:numId w:val="20"/>
        </w:numPr>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2A648F">
      <w:pPr>
        <w:numPr>
          <w:ilvl w:val="2"/>
          <w:numId w:val="20"/>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2A648F">
      <w:pPr>
        <w:numPr>
          <w:ilvl w:val="2"/>
          <w:numId w:val="20"/>
        </w:numPr>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2A648F">
      <w:pPr>
        <w:numPr>
          <w:ilvl w:val="2"/>
          <w:numId w:val="20"/>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2A648F">
      <w:pPr>
        <w:numPr>
          <w:ilvl w:val="2"/>
          <w:numId w:val="20"/>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2A648F"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0FACFE63" w14:textId="77777777" w:rsidR="002A648F" w:rsidRPr="002A648F" w:rsidRDefault="002A648F" w:rsidP="00960E57">
      <w:pPr>
        <w:numPr>
          <w:ilvl w:val="1"/>
          <w:numId w:val="1"/>
        </w:numPr>
        <w:tabs>
          <w:tab w:val="clear" w:pos="792"/>
          <w:tab w:val="num" w:pos="0"/>
        </w:tabs>
        <w:autoSpaceDE w:val="0"/>
        <w:autoSpaceDN w:val="0"/>
        <w:adjustRightInd w:val="0"/>
        <w:ind w:left="0" w:firstLine="567"/>
        <w:jc w:val="both"/>
        <w:rPr>
          <w:caps/>
        </w:rPr>
      </w:pPr>
      <w:r>
        <w:lastRenderedPageBreak/>
        <w:t>Орендар несе відповідальність у повному обсязі за невиконання будь-яких нормативних актів правил пожежної безпеки.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19C3DB29" w14:textId="7990EA6B" w:rsidR="002A648F" w:rsidRPr="002A648F" w:rsidRDefault="002A648F" w:rsidP="00960E57">
      <w:pPr>
        <w:numPr>
          <w:ilvl w:val="1"/>
          <w:numId w:val="1"/>
        </w:numPr>
        <w:tabs>
          <w:tab w:val="clear" w:pos="792"/>
          <w:tab w:val="num" w:pos="0"/>
        </w:tabs>
        <w:autoSpaceDE w:val="0"/>
        <w:autoSpaceDN w:val="0"/>
        <w:adjustRightInd w:val="0"/>
        <w:ind w:left="0" w:firstLine="567"/>
        <w:jc w:val="both"/>
        <w:rPr>
          <w:caps/>
        </w:rPr>
      </w:pPr>
      <w:r>
        <w:t>В разі виникнення пожежі або надзвичайної ситуації з вини Орендаря компенсувати всі матеріальні збитки (прямі та побічні) нанесені ними Орендодавцю.</w:t>
      </w:r>
    </w:p>
    <w:p w14:paraId="7880CBA2" w14:textId="09BB7EE7" w:rsidR="002A648F" w:rsidRPr="00960E57" w:rsidRDefault="002A648F" w:rsidP="002A648F">
      <w:pPr>
        <w:autoSpaceDE w:val="0"/>
        <w:autoSpaceDN w:val="0"/>
        <w:adjustRightInd w:val="0"/>
        <w:ind w:left="567"/>
        <w:jc w:val="both"/>
        <w:rPr>
          <w:caps/>
        </w:rPr>
      </w:pPr>
      <w:bookmarkStart w:id="1" w:name="_GoBack"/>
      <w:bookmarkEnd w:id="1"/>
      <w:r>
        <w:t xml:space="preserve"> </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lastRenderedPageBreak/>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lastRenderedPageBreak/>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CEF1" w14:textId="77777777" w:rsidR="00AF4F1F" w:rsidRDefault="00AF4F1F">
      <w:r>
        <w:separator/>
      </w:r>
    </w:p>
  </w:endnote>
  <w:endnote w:type="continuationSeparator" w:id="0">
    <w:p w14:paraId="5C203CDC" w14:textId="77777777" w:rsidR="00AF4F1F" w:rsidRDefault="00AF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2A648F" w:rsidRPr="002A648F">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C5A2D" w14:textId="77777777" w:rsidR="00AF4F1F" w:rsidRDefault="00AF4F1F">
      <w:r>
        <w:separator/>
      </w:r>
    </w:p>
  </w:footnote>
  <w:footnote w:type="continuationSeparator" w:id="0">
    <w:p w14:paraId="73704DB7" w14:textId="77777777" w:rsidR="00AF4F1F" w:rsidRDefault="00AF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5C0F" w14:textId="2DDDEA3F" w:rsidR="003B15B2" w:rsidRDefault="00AF4F1F">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A85" w14:textId="542B4B1B" w:rsidR="003B15B2" w:rsidRDefault="00AF4F1F">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C0F" w14:textId="5B3C89AF" w:rsidR="003B15B2" w:rsidRDefault="00AF4F1F">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26610338"/>
    <w:multiLevelType w:val="multilevel"/>
    <w:tmpl w:val="3424D43A"/>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2">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5">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DED6A96"/>
    <w:multiLevelType w:val="multilevel"/>
    <w:tmpl w:val="924AC69E"/>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8">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7"/>
  </w:num>
  <w:num w:numId="5">
    <w:abstractNumId w:val="0"/>
  </w:num>
  <w:num w:numId="6">
    <w:abstractNumId w:val="2"/>
  </w:num>
  <w:num w:numId="7">
    <w:abstractNumId w:val="12"/>
  </w:num>
  <w:num w:numId="8">
    <w:abstractNumId w:val="15"/>
  </w:num>
  <w:num w:numId="9">
    <w:abstractNumId w:val="17"/>
  </w:num>
  <w:num w:numId="10">
    <w:abstractNumId w:val="11"/>
  </w:num>
  <w:num w:numId="11">
    <w:abstractNumId w:val="4"/>
  </w:num>
  <w:num w:numId="12">
    <w:abstractNumId w:val="1"/>
  </w:num>
  <w:num w:numId="13">
    <w:abstractNumId w:val="14"/>
  </w:num>
  <w:num w:numId="14">
    <w:abstractNumId w:val="19"/>
  </w:num>
  <w:num w:numId="15">
    <w:abstractNumId w:val="9"/>
  </w:num>
  <w:num w:numId="16">
    <w:abstractNumId w:val="6"/>
  </w:num>
  <w:num w:numId="17">
    <w:abstractNumId w:val="10"/>
  </w:num>
  <w:num w:numId="18">
    <w:abstractNumId w:val="13"/>
  </w:num>
  <w:num w:numId="19">
    <w:abstractNumId w:val="16"/>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48F"/>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1A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4398"/>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4F1F"/>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6633"/>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D9EF8C0-ABC8-43C9-95B1-E3376BA5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18592</Words>
  <Characters>10598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29132</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Макаренко Тетяна Василівна</cp:lastModifiedBy>
  <cp:revision>4</cp:revision>
  <cp:lastPrinted>2017-07-24T11:13:00Z</cp:lastPrinted>
  <dcterms:created xsi:type="dcterms:W3CDTF">2018-03-19T13:32:00Z</dcterms:created>
  <dcterms:modified xsi:type="dcterms:W3CDTF">2018-09-28T11:55:00Z</dcterms:modified>
</cp:coreProperties>
</file>