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CellMar>
          <w:left w:w="15" w:type="dxa"/>
          <w:right w:w="15" w:type="dxa"/>
        </w:tblCellMar>
        <w:tblLook w:val="0000" w:firstRow="0" w:lastRow="0" w:firstColumn="0" w:lastColumn="0" w:noHBand="0" w:noVBand="0"/>
      </w:tblPr>
      <w:tblGrid>
        <w:gridCol w:w="51"/>
        <w:gridCol w:w="1593"/>
        <w:gridCol w:w="5581"/>
        <w:gridCol w:w="2735"/>
      </w:tblGrid>
      <w:tr w:rsidR="0083385E" w:rsidRPr="000E59B1" w14:paraId="7EC7BAF4" w14:textId="77777777" w:rsidTr="005F0C51">
        <w:trPr>
          <w:trHeight w:val="497"/>
        </w:trPr>
        <w:tc>
          <w:tcPr>
            <w:tcW w:w="9960" w:type="dxa"/>
            <w:gridSpan w:val="4"/>
            <w:tcBorders>
              <w:top w:val="nil"/>
              <w:left w:val="nil"/>
              <w:bottom w:val="nil"/>
              <w:right w:val="nil"/>
            </w:tcBorders>
          </w:tcPr>
          <w:p w14:paraId="1A8F193B" w14:textId="1BFEF0A7" w:rsidR="0083385E" w:rsidRPr="000E59B1" w:rsidRDefault="00275334">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 xml:space="preserve">ДОГОВІР № </w:t>
            </w:r>
            <w:r w:rsidR="0083385E" w:rsidRPr="000E59B1">
              <w:rPr>
                <w:rFonts w:ascii="Times New Roman" w:hAnsi="Times New Roman"/>
                <w:b/>
                <w:bCs/>
                <w:color w:val="000000"/>
                <w:sz w:val="24"/>
                <w:szCs w:val="24"/>
                <w:lang w:val="uk-UA"/>
              </w:rPr>
              <w:br/>
              <w:t>щодо нерозголошення банківської таємниці та конфіденційної інформації</w:t>
            </w:r>
          </w:p>
        </w:tc>
      </w:tr>
      <w:tr w:rsidR="0083385E" w:rsidRPr="000E59B1" w14:paraId="1EC2726C" w14:textId="77777777" w:rsidTr="005F0C51">
        <w:trPr>
          <w:trHeight w:val="45"/>
        </w:trPr>
        <w:tc>
          <w:tcPr>
            <w:tcW w:w="9960" w:type="dxa"/>
            <w:gridSpan w:val="4"/>
            <w:tcBorders>
              <w:top w:val="nil"/>
              <w:left w:val="nil"/>
              <w:bottom w:val="nil"/>
              <w:right w:val="nil"/>
            </w:tcBorders>
          </w:tcPr>
          <w:p w14:paraId="4F5C30A1"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tc>
      </w:tr>
      <w:tr w:rsidR="0083385E" w:rsidRPr="000E59B1" w14:paraId="41AA4EAB" w14:textId="77777777" w:rsidTr="005F0C51">
        <w:trPr>
          <w:trHeight w:val="226"/>
        </w:trPr>
        <w:tc>
          <w:tcPr>
            <w:tcW w:w="51" w:type="dxa"/>
            <w:vMerge w:val="restart"/>
            <w:tcBorders>
              <w:top w:val="nil"/>
              <w:left w:val="nil"/>
              <w:bottom w:val="nil"/>
              <w:right w:val="nil"/>
            </w:tcBorders>
          </w:tcPr>
          <w:p w14:paraId="24AC5C39"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1593" w:type="dxa"/>
            <w:tcBorders>
              <w:top w:val="nil"/>
              <w:left w:val="nil"/>
              <w:bottom w:val="nil"/>
              <w:right w:val="nil"/>
            </w:tcBorders>
            <w:vAlign w:val="center"/>
          </w:tcPr>
          <w:p w14:paraId="035AB906" w14:textId="77777777" w:rsidR="0083385E" w:rsidRPr="000E59B1" w:rsidRDefault="0083385E">
            <w:pPr>
              <w:widowControl w:val="0"/>
              <w:autoSpaceDE w:val="0"/>
              <w:autoSpaceDN w:val="0"/>
              <w:adjustRightInd w:val="0"/>
              <w:spacing w:before="13" w:after="0" w:line="156" w:lineRule="atLeast"/>
              <w:ind w:left="15"/>
              <w:rPr>
                <w:rFonts w:ascii="Times New Roman" w:hAnsi="Times New Roman"/>
                <w:color w:val="000000"/>
                <w:sz w:val="24"/>
                <w:szCs w:val="24"/>
                <w:lang w:val="uk-UA"/>
              </w:rPr>
            </w:pPr>
            <w:r w:rsidRPr="000E59B1">
              <w:rPr>
                <w:rFonts w:ascii="Times New Roman" w:hAnsi="Times New Roman"/>
                <w:color w:val="000000"/>
                <w:sz w:val="24"/>
                <w:szCs w:val="24"/>
                <w:lang w:val="uk-UA"/>
              </w:rPr>
              <w:t>м. Київ</w:t>
            </w:r>
          </w:p>
        </w:tc>
        <w:tc>
          <w:tcPr>
            <w:tcW w:w="5581" w:type="dxa"/>
            <w:vMerge w:val="restart"/>
            <w:tcBorders>
              <w:top w:val="nil"/>
              <w:left w:val="nil"/>
              <w:bottom w:val="nil"/>
              <w:right w:val="nil"/>
            </w:tcBorders>
          </w:tcPr>
          <w:p w14:paraId="4A78C524"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2735" w:type="dxa"/>
            <w:tcBorders>
              <w:top w:val="nil"/>
              <w:left w:val="nil"/>
              <w:bottom w:val="nil"/>
              <w:right w:val="nil"/>
            </w:tcBorders>
            <w:vAlign w:val="center"/>
          </w:tcPr>
          <w:p w14:paraId="162FC521" w14:textId="50E7FBEF" w:rsidR="0083385E" w:rsidRPr="000E59B1" w:rsidRDefault="00645A7E">
            <w:pPr>
              <w:widowControl w:val="0"/>
              <w:autoSpaceDE w:val="0"/>
              <w:autoSpaceDN w:val="0"/>
              <w:adjustRightInd w:val="0"/>
              <w:spacing w:before="13" w:after="0" w:line="156" w:lineRule="atLeast"/>
              <w:ind w:left="15"/>
              <w:jc w:val="right"/>
              <w:rPr>
                <w:rFonts w:ascii="Times New Roman" w:hAnsi="Times New Roman"/>
                <w:color w:val="000000"/>
                <w:sz w:val="24"/>
                <w:szCs w:val="24"/>
                <w:lang w:val="uk-UA"/>
              </w:rPr>
            </w:pPr>
            <w:r w:rsidRPr="000E59B1">
              <w:rPr>
                <w:rFonts w:ascii="Times New Roman" w:hAnsi="Times New Roman"/>
                <w:color w:val="000000"/>
                <w:sz w:val="24"/>
                <w:szCs w:val="24"/>
                <w:lang w:val="uk-UA"/>
              </w:rPr>
              <w:t>"</w:t>
            </w:r>
            <w:r w:rsidR="00D00B73">
              <w:rPr>
                <w:rFonts w:ascii="Times New Roman" w:hAnsi="Times New Roman"/>
                <w:color w:val="000000"/>
                <w:sz w:val="24"/>
                <w:szCs w:val="24"/>
                <w:lang w:val="uk-UA"/>
              </w:rPr>
              <w:t>__</w:t>
            </w:r>
            <w:r w:rsidRPr="000E59B1">
              <w:rPr>
                <w:rFonts w:ascii="Times New Roman" w:hAnsi="Times New Roman"/>
                <w:color w:val="000000"/>
                <w:sz w:val="24"/>
                <w:szCs w:val="24"/>
                <w:lang w:val="uk-UA"/>
              </w:rPr>
              <w:t>"</w:t>
            </w:r>
            <w:r w:rsidR="00D00B73">
              <w:rPr>
                <w:rFonts w:ascii="Times New Roman" w:hAnsi="Times New Roman"/>
                <w:color w:val="000000"/>
                <w:sz w:val="24"/>
                <w:szCs w:val="24"/>
                <w:lang w:val="uk-UA"/>
              </w:rPr>
              <w:t>_____</w:t>
            </w:r>
            <w:r w:rsidR="0083385E" w:rsidRPr="000E59B1">
              <w:rPr>
                <w:rFonts w:ascii="Times New Roman" w:hAnsi="Times New Roman"/>
                <w:color w:val="000000"/>
                <w:sz w:val="24"/>
                <w:szCs w:val="24"/>
                <w:lang w:val="uk-UA"/>
              </w:rPr>
              <w:t xml:space="preserve"> 20</w:t>
            </w:r>
            <w:r w:rsidR="00F80141">
              <w:rPr>
                <w:rFonts w:ascii="Times New Roman" w:hAnsi="Times New Roman"/>
                <w:color w:val="000000"/>
                <w:sz w:val="24"/>
                <w:szCs w:val="24"/>
                <w:lang w:val="uk-UA"/>
              </w:rPr>
              <w:t>2</w:t>
            </w:r>
            <w:r w:rsidR="00A25640">
              <w:rPr>
                <w:rFonts w:ascii="Times New Roman" w:hAnsi="Times New Roman"/>
                <w:color w:val="000000"/>
                <w:sz w:val="24"/>
                <w:szCs w:val="24"/>
                <w:lang w:val="uk-UA"/>
              </w:rPr>
              <w:t>1</w:t>
            </w:r>
            <w:r w:rsidR="0083385E" w:rsidRPr="000E59B1">
              <w:rPr>
                <w:rFonts w:ascii="Times New Roman" w:hAnsi="Times New Roman"/>
                <w:color w:val="000000"/>
                <w:sz w:val="24"/>
                <w:szCs w:val="24"/>
                <w:lang w:val="uk-UA"/>
              </w:rPr>
              <w:t xml:space="preserve"> р</w:t>
            </w:r>
            <w:r w:rsidR="008F449C">
              <w:rPr>
                <w:rFonts w:ascii="Times New Roman" w:hAnsi="Times New Roman"/>
                <w:color w:val="000000"/>
                <w:sz w:val="24"/>
                <w:szCs w:val="24"/>
                <w:lang w:val="uk-UA"/>
              </w:rPr>
              <w:t>оку</w:t>
            </w:r>
          </w:p>
        </w:tc>
      </w:tr>
      <w:tr w:rsidR="0083385E" w:rsidRPr="000E59B1" w14:paraId="3CD82FF4" w14:textId="77777777" w:rsidTr="005F0C51">
        <w:trPr>
          <w:trHeight w:val="90"/>
        </w:trPr>
        <w:tc>
          <w:tcPr>
            <w:tcW w:w="51" w:type="dxa"/>
            <w:vMerge/>
            <w:tcBorders>
              <w:top w:val="nil"/>
              <w:left w:val="nil"/>
              <w:bottom w:val="nil"/>
              <w:right w:val="nil"/>
            </w:tcBorders>
          </w:tcPr>
          <w:p w14:paraId="3D98BB21"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1593" w:type="dxa"/>
            <w:tcBorders>
              <w:top w:val="nil"/>
              <w:left w:val="nil"/>
              <w:bottom w:val="nil"/>
              <w:right w:val="nil"/>
            </w:tcBorders>
          </w:tcPr>
          <w:p w14:paraId="274FC5FE"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c>
          <w:tcPr>
            <w:tcW w:w="5581" w:type="dxa"/>
            <w:vMerge/>
            <w:tcBorders>
              <w:top w:val="nil"/>
              <w:left w:val="nil"/>
              <w:bottom w:val="nil"/>
              <w:right w:val="nil"/>
            </w:tcBorders>
          </w:tcPr>
          <w:p w14:paraId="3A6B756B"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2735" w:type="dxa"/>
            <w:tcBorders>
              <w:top w:val="nil"/>
              <w:left w:val="nil"/>
              <w:bottom w:val="nil"/>
              <w:right w:val="nil"/>
            </w:tcBorders>
          </w:tcPr>
          <w:p w14:paraId="47846309"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r>
      <w:tr w:rsidR="0083385E" w:rsidRPr="000A6798" w14:paraId="619931BA" w14:textId="77777777" w:rsidTr="005F0C51">
        <w:trPr>
          <w:trHeight w:val="10410"/>
        </w:trPr>
        <w:tc>
          <w:tcPr>
            <w:tcW w:w="9960" w:type="dxa"/>
            <w:gridSpan w:val="4"/>
            <w:tcBorders>
              <w:top w:val="nil"/>
              <w:left w:val="nil"/>
              <w:bottom w:val="nil"/>
              <w:right w:val="nil"/>
            </w:tcBorders>
          </w:tcPr>
          <w:p w14:paraId="4CB47BC1" w14:textId="6F2437CF" w:rsidR="0083385E" w:rsidRPr="000E59B1" w:rsidRDefault="00F80141" w:rsidP="00F80141">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F80141">
              <w:rPr>
                <w:rFonts w:ascii="Times New Roman" w:hAnsi="Times New Roman"/>
                <w:b/>
                <w:bCs/>
                <w:color w:val="000000"/>
                <w:sz w:val="24"/>
                <w:szCs w:val="24"/>
                <w:lang w:val="uk-UA"/>
              </w:rPr>
              <w:t>ТОВ "ФК "ФОРІНТ"</w:t>
            </w:r>
            <w:r w:rsidR="0083385E" w:rsidRPr="000E59B1">
              <w:rPr>
                <w:rFonts w:ascii="Times New Roman" w:hAnsi="Times New Roman"/>
                <w:color w:val="000000"/>
                <w:sz w:val="24"/>
                <w:szCs w:val="24"/>
                <w:lang w:val="uk-UA"/>
              </w:rPr>
              <w:t xml:space="preserve">, далі по тексту - </w:t>
            </w:r>
            <w:r w:rsidR="0083385E" w:rsidRPr="000E59B1">
              <w:rPr>
                <w:rFonts w:ascii="Times New Roman" w:hAnsi="Times New Roman"/>
                <w:b/>
                <w:bCs/>
                <w:color w:val="000000"/>
                <w:sz w:val="24"/>
                <w:szCs w:val="24"/>
                <w:lang w:val="uk-UA"/>
              </w:rPr>
              <w:t>«Продавець»</w:t>
            </w:r>
            <w:r w:rsidR="0083385E" w:rsidRPr="000E59B1">
              <w:rPr>
                <w:rFonts w:ascii="Times New Roman" w:hAnsi="Times New Roman"/>
                <w:color w:val="000000"/>
                <w:sz w:val="24"/>
                <w:szCs w:val="24"/>
                <w:lang w:val="uk-UA"/>
              </w:rPr>
              <w:t xml:space="preserve">, </w:t>
            </w:r>
            <w:r w:rsidRPr="00F80141">
              <w:rPr>
                <w:rFonts w:ascii="Times New Roman" w:hAnsi="Times New Roman"/>
                <w:color w:val="000000"/>
                <w:sz w:val="24"/>
                <w:szCs w:val="24"/>
                <w:lang w:val="uk-UA"/>
              </w:rPr>
              <w:t>в особі</w:t>
            </w:r>
            <w:r w:rsidR="008F449C">
              <w:rPr>
                <w:rFonts w:ascii="Times New Roman" w:hAnsi="Times New Roman"/>
                <w:color w:val="000000"/>
                <w:sz w:val="24"/>
                <w:szCs w:val="24"/>
                <w:lang w:val="uk-UA"/>
              </w:rPr>
              <w:t xml:space="preserve"> директора Васильєва Олексія Васильовича</w:t>
            </w:r>
            <w:r w:rsidRPr="00F80141">
              <w:rPr>
                <w:rFonts w:ascii="Times New Roman" w:hAnsi="Times New Roman"/>
                <w:color w:val="000000"/>
                <w:sz w:val="24"/>
                <w:szCs w:val="24"/>
                <w:lang w:val="uk-UA"/>
              </w:rPr>
              <w:t>, який діє на підставі</w:t>
            </w:r>
            <w:r w:rsidR="00030257">
              <w:rPr>
                <w:rFonts w:ascii="Times New Roman" w:hAnsi="Times New Roman"/>
                <w:color w:val="000000"/>
                <w:sz w:val="24"/>
                <w:szCs w:val="24"/>
                <w:lang w:val="uk-UA"/>
              </w:rPr>
              <w:t xml:space="preserve"> </w:t>
            </w:r>
            <w:r w:rsidR="002D7DCD">
              <w:rPr>
                <w:rFonts w:ascii="Times New Roman" w:hAnsi="Times New Roman"/>
                <w:color w:val="000000"/>
                <w:sz w:val="24"/>
                <w:szCs w:val="24"/>
                <w:lang w:val="uk-UA"/>
              </w:rPr>
              <w:t>Статуту</w:t>
            </w:r>
            <w:r w:rsidR="0035098F">
              <w:rPr>
                <w:rFonts w:ascii="Times New Roman" w:hAnsi="Times New Roman"/>
                <w:color w:val="000000"/>
                <w:sz w:val="24"/>
                <w:szCs w:val="24"/>
                <w:lang w:val="uk-UA"/>
              </w:rPr>
              <w:t xml:space="preserve"> ТОВ «ФК «Форінт»</w:t>
            </w:r>
            <w:r w:rsidR="009C24B4" w:rsidRPr="000E59B1">
              <w:rPr>
                <w:rFonts w:ascii="Times New Roman" w:hAnsi="Times New Roman"/>
                <w:color w:val="000000"/>
                <w:sz w:val="24"/>
                <w:szCs w:val="24"/>
                <w:lang w:val="uk-UA"/>
              </w:rPr>
              <w:t xml:space="preserve">, з одної сторони, </w:t>
            </w:r>
          </w:p>
          <w:p w14:paraId="42FC8C54" w14:textId="6B3B1978"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та </w:t>
            </w:r>
            <w:r w:rsidR="00D00B73">
              <w:rPr>
                <w:rFonts w:ascii="Times New Roman" w:hAnsi="Times New Roman"/>
                <w:color w:val="000000"/>
                <w:sz w:val="24"/>
                <w:szCs w:val="24"/>
                <w:lang w:val="uk-UA"/>
              </w:rPr>
              <w:t>_________, код</w:t>
            </w:r>
            <w:r w:rsidR="00F070D1" w:rsidRPr="000E59B1">
              <w:rPr>
                <w:rFonts w:ascii="Times New Roman" w:hAnsi="Times New Roman"/>
                <w:b/>
                <w:bCs/>
                <w:color w:val="000000"/>
                <w:sz w:val="24"/>
                <w:szCs w:val="24"/>
                <w:lang w:val="uk-UA"/>
              </w:rPr>
              <w:t xml:space="preserve"> </w:t>
            </w:r>
            <w:r w:rsidR="00B90FEB" w:rsidRPr="000E59B1">
              <w:rPr>
                <w:rFonts w:ascii="Times New Roman" w:hAnsi="Times New Roman"/>
                <w:color w:val="000000"/>
                <w:sz w:val="24"/>
                <w:szCs w:val="24"/>
                <w:lang w:val="uk-UA"/>
              </w:rPr>
              <w:t xml:space="preserve">ЄДРПОУ </w:t>
            </w:r>
            <w:r w:rsidR="00D00B73">
              <w:rPr>
                <w:rFonts w:ascii="Times New Roman" w:hAnsi="Times New Roman"/>
                <w:color w:val="000000"/>
                <w:sz w:val="24"/>
                <w:szCs w:val="24"/>
                <w:lang w:val="uk-UA"/>
              </w:rPr>
              <w:t>______</w:t>
            </w:r>
            <w:r w:rsidR="00463C4F">
              <w:rPr>
                <w:rFonts w:ascii="Times New Roman" w:hAnsi="Times New Roman"/>
                <w:color w:val="000000"/>
                <w:sz w:val="24"/>
                <w:szCs w:val="24"/>
                <w:lang w:val="uk-UA"/>
              </w:rPr>
              <w:t>,</w:t>
            </w:r>
            <w:r w:rsidRPr="000E59B1">
              <w:rPr>
                <w:rFonts w:ascii="Times New Roman" w:hAnsi="Times New Roman"/>
                <w:color w:val="000000"/>
                <w:sz w:val="24"/>
                <w:szCs w:val="24"/>
                <w:lang w:val="uk-UA"/>
              </w:rPr>
              <w:t xml:space="preserve"> далі по тексту - </w:t>
            </w:r>
            <w:r w:rsidRPr="000E59B1">
              <w:rPr>
                <w:rFonts w:ascii="Times New Roman" w:hAnsi="Times New Roman"/>
                <w:b/>
                <w:bCs/>
                <w:color w:val="000000"/>
                <w:sz w:val="24"/>
                <w:szCs w:val="24"/>
                <w:lang w:val="uk-UA"/>
              </w:rPr>
              <w:t>«Потенційний покупець»</w:t>
            </w:r>
            <w:r w:rsidRPr="000E59B1">
              <w:rPr>
                <w:rFonts w:ascii="Times New Roman" w:hAnsi="Times New Roman"/>
                <w:color w:val="000000"/>
                <w:sz w:val="24"/>
                <w:szCs w:val="24"/>
                <w:lang w:val="uk-UA"/>
              </w:rPr>
              <w:t>, в особі</w:t>
            </w:r>
            <w:r w:rsidR="0035098F">
              <w:rPr>
                <w:rFonts w:ascii="Times New Roman" w:hAnsi="Times New Roman"/>
                <w:color w:val="000000"/>
                <w:sz w:val="24"/>
                <w:szCs w:val="24"/>
                <w:lang w:val="uk-UA"/>
              </w:rPr>
              <w:t xml:space="preserve"> </w:t>
            </w:r>
            <w:r w:rsidR="00D00B73">
              <w:rPr>
                <w:rFonts w:ascii="Times New Roman" w:hAnsi="Times New Roman"/>
                <w:color w:val="000000"/>
                <w:sz w:val="24"/>
                <w:szCs w:val="24"/>
                <w:lang w:val="uk-UA"/>
              </w:rPr>
              <w:t>_________</w:t>
            </w:r>
            <w:r w:rsidR="009C24B4" w:rsidRPr="000E59B1">
              <w:rPr>
                <w:rFonts w:ascii="Times New Roman" w:hAnsi="Times New Roman"/>
                <w:color w:val="000000"/>
                <w:sz w:val="24"/>
                <w:szCs w:val="24"/>
                <w:lang w:val="uk-UA"/>
              </w:rPr>
              <w:t xml:space="preserve">, </w:t>
            </w:r>
            <w:r w:rsidR="00CE1FCA" w:rsidRPr="000E59B1">
              <w:rPr>
                <w:rFonts w:ascii="Times New Roman" w:hAnsi="Times New Roman"/>
                <w:color w:val="000000"/>
                <w:sz w:val="24"/>
                <w:szCs w:val="24"/>
                <w:lang w:val="uk-UA"/>
              </w:rPr>
              <w:t>який діє на підставі</w:t>
            </w:r>
            <w:r w:rsidR="00463C4F">
              <w:rPr>
                <w:rFonts w:ascii="Times New Roman" w:hAnsi="Times New Roman"/>
                <w:color w:val="000000"/>
                <w:sz w:val="24"/>
                <w:szCs w:val="24"/>
                <w:lang w:val="uk-UA"/>
              </w:rPr>
              <w:t xml:space="preserve"> </w:t>
            </w:r>
            <w:r w:rsidR="00D00B73">
              <w:rPr>
                <w:rFonts w:ascii="Times New Roman" w:hAnsi="Times New Roman"/>
                <w:color w:val="000000"/>
                <w:sz w:val="24"/>
                <w:szCs w:val="24"/>
                <w:lang w:val="uk-UA"/>
              </w:rPr>
              <w:t>______</w:t>
            </w:r>
            <w:r w:rsidRPr="000E59B1">
              <w:rPr>
                <w:rFonts w:ascii="Times New Roman" w:hAnsi="Times New Roman"/>
                <w:color w:val="000000"/>
                <w:sz w:val="24"/>
                <w:szCs w:val="24"/>
                <w:lang w:val="uk-UA"/>
              </w:rPr>
              <w:t xml:space="preserve">,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 </w:t>
            </w:r>
          </w:p>
          <w:p w14:paraId="6DA05DF6" w14:textId="77777777" w:rsidR="0083385E" w:rsidRPr="000E59B1" w:rsidRDefault="0083385E">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3C419257" w14:textId="77777777" w:rsidR="0083385E" w:rsidRDefault="009C24B4" w:rsidP="00212A32">
            <w:pPr>
              <w:widowControl w:val="0"/>
              <w:numPr>
                <w:ilvl w:val="0"/>
                <w:numId w:val="1"/>
              </w:numPr>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ВИЗНАЧЕННЯ</w:t>
            </w:r>
          </w:p>
          <w:p w14:paraId="3A97E3B4" w14:textId="77777777" w:rsidR="00212A32" w:rsidRPr="000E59B1" w:rsidRDefault="00212A32" w:rsidP="009F31CB">
            <w:pPr>
              <w:widowControl w:val="0"/>
              <w:autoSpaceDE w:val="0"/>
              <w:autoSpaceDN w:val="0"/>
              <w:adjustRightInd w:val="0"/>
              <w:spacing w:after="0" w:line="104" w:lineRule="atLeast"/>
              <w:ind w:left="1380"/>
              <w:rPr>
                <w:rFonts w:ascii="Times New Roman" w:hAnsi="Times New Roman"/>
                <w:b/>
                <w:bCs/>
                <w:color w:val="000000"/>
                <w:sz w:val="24"/>
                <w:szCs w:val="24"/>
                <w:lang w:val="uk-UA"/>
              </w:rPr>
            </w:pPr>
          </w:p>
          <w:p w14:paraId="700750E5" w14:textId="191D87DF"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0E59B1">
              <w:rPr>
                <w:rFonts w:ascii="Times New Roman" w:hAnsi="Times New Roman"/>
                <w:color w:val="000000"/>
                <w:sz w:val="24"/>
                <w:szCs w:val="24"/>
                <w:lang w:val="uk-UA"/>
              </w:rPr>
              <w:t>1.1. Банківська таємниця - це інформація щодо діяльності та фінансового стану клієнта, яка стала відомою банку</w:t>
            </w:r>
            <w:r w:rsidR="0035098F">
              <w:rPr>
                <w:rFonts w:ascii="Times New Roman" w:hAnsi="Times New Roman"/>
                <w:color w:val="000000"/>
                <w:sz w:val="24"/>
                <w:szCs w:val="24"/>
                <w:lang w:val="uk-UA"/>
              </w:rPr>
              <w:t>/Продавцю</w:t>
            </w:r>
            <w:r w:rsidRPr="000E59B1">
              <w:rPr>
                <w:rFonts w:ascii="Times New Roman" w:hAnsi="Times New Roman"/>
                <w:color w:val="000000"/>
                <w:sz w:val="24"/>
                <w:szCs w:val="24"/>
                <w:lang w:val="uk-UA"/>
              </w:rPr>
              <w:t xml:space="preserve"> у процесі обслуговування клієнта та взаємовідносин з ним чи третім особам при </w:t>
            </w:r>
            <w:r w:rsidRPr="004A47D0">
              <w:rPr>
                <w:rFonts w:ascii="Times New Roman" w:hAnsi="Times New Roman"/>
                <w:sz w:val="24"/>
                <w:szCs w:val="24"/>
                <w:lang w:val="uk-UA"/>
              </w:rPr>
              <w:t>наданні послуг банку</w:t>
            </w:r>
            <w:r w:rsidR="0035098F">
              <w:rPr>
                <w:rFonts w:ascii="Times New Roman" w:hAnsi="Times New Roman"/>
                <w:sz w:val="24"/>
                <w:szCs w:val="24"/>
                <w:lang w:val="uk-UA"/>
              </w:rPr>
              <w:t>/Продавця</w:t>
            </w:r>
            <w:r w:rsidRPr="004A47D0">
              <w:rPr>
                <w:rFonts w:ascii="Times New Roman" w:hAnsi="Times New Roman"/>
                <w:sz w:val="24"/>
                <w:szCs w:val="24"/>
                <w:lang w:val="uk-UA"/>
              </w:rPr>
              <w:t xml:space="preserve">. </w:t>
            </w:r>
          </w:p>
          <w:p w14:paraId="63B75F98" w14:textId="77777777"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sz w:val="24"/>
                <w:szCs w:val="24"/>
                <w:lang w:val="uk-UA"/>
              </w:rPr>
              <w:t xml:space="preserve">Перелік інформації, що становить банківську таємницю, визначений, статтею 60 Закону України «Про банки і банківську діяльність» та статтею 1076 Цивільного кодексу України. </w:t>
            </w:r>
          </w:p>
          <w:p w14:paraId="0CDB348C" w14:textId="77777777" w:rsidR="0083385E" w:rsidRPr="004A47D0" w:rsidRDefault="007B0A53">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sz w:val="24"/>
                <w:szCs w:val="24"/>
                <w:lang w:val="uk-UA"/>
              </w:rPr>
              <w:t xml:space="preserve">1.2. </w:t>
            </w:r>
            <w:r w:rsidR="0083385E" w:rsidRPr="004A47D0">
              <w:rPr>
                <w:rFonts w:ascii="Times New Roman" w:hAnsi="Times New Roman"/>
                <w:sz w:val="24"/>
                <w:szCs w:val="24"/>
                <w:lang w:val="uk-UA"/>
              </w:rPr>
              <w:t xml:space="preserve">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 </w:t>
            </w:r>
          </w:p>
          <w:p w14:paraId="507B88AB" w14:textId="77777777" w:rsidR="0083385E" w:rsidRPr="004A47D0" w:rsidRDefault="0083385E">
            <w:pPr>
              <w:widowControl w:val="0"/>
              <w:autoSpaceDE w:val="0"/>
              <w:autoSpaceDN w:val="0"/>
              <w:adjustRightInd w:val="0"/>
              <w:spacing w:after="0" w:line="104" w:lineRule="atLeast"/>
              <w:ind w:left="60" w:firstLine="708"/>
              <w:jc w:val="both"/>
              <w:rPr>
                <w:rFonts w:ascii="Times New Roman" w:hAnsi="Times New Roman"/>
                <w:sz w:val="24"/>
                <w:szCs w:val="24"/>
                <w:lang w:val="uk-UA"/>
              </w:rPr>
            </w:pPr>
            <w:r w:rsidRPr="004A47D0">
              <w:rPr>
                <w:rFonts w:ascii="Times New Roman" w:hAnsi="Times New Roman"/>
                <w:b/>
                <w:bCs/>
                <w:i/>
                <w:iCs/>
                <w:sz w:val="24"/>
                <w:szCs w:val="24"/>
                <w:lang w:val="uk-UA"/>
              </w:rPr>
              <w:t>До конфіденційної інформації належить</w:t>
            </w:r>
            <w:r w:rsidRPr="004A47D0">
              <w:rPr>
                <w:rFonts w:ascii="Times New Roman" w:hAnsi="Times New Roman"/>
                <w:sz w:val="24"/>
                <w:szCs w:val="24"/>
                <w:lang w:val="uk-UA"/>
              </w:rPr>
              <w:t xml:space="preserve">: </w:t>
            </w:r>
          </w:p>
          <w:p w14:paraId="2E36EF99"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w:t>
            </w:r>
          </w:p>
          <w:p w14:paraId="0C929481"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w:t>
            </w:r>
          </w:p>
          <w:p w14:paraId="6E57DD1F" w14:textId="45C03141"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 </w:t>
            </w:r>
            <w:r w:rsidR="0083385E" w:rsidRPr="000E59B1">
              <w:rPr>
                <w:rFonts w:ascii="Times New Roman" w:hAnsi="Times New Roman"/>
                <w:color w:val="000000"/>
                <w:sz w:val="24"/>
                <w:szCs w:val="24"/>
                <w:lang w:val="uk-UA"/>
              </w:rPr>
              <w:t xml:space="preserve">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w:t>
            </w:r>
            <w:r w:rsidR="0035098F">
              <w:rPr>
                <w:rFonts w:ascii="Times New Roman" w:hAnsi="Times New Roman"/>
                <w:color w:val="000000"/>
                <w:sz w:val="24"/>
                <w:szCs w:val="24"/>
                <w:lang w:val="uk-UA"/>
              </w:rPr>
              <w:t>установи Продавця</w:t>
            </w:r>
            <w:r w:rsidR="0083385E" w:rsidRPr="000E59B1">
              <w:rPr>
                <w:rFonts w:ascii="Times New Roman" w:hAnsi="Times New Roman"/>
                <w:color w:val="000000"/>
                <w:sz w:val="24"/>
                <w:szCs w:val="24"/>
                <w:lang w:val="uk-UA"/>
              </w:rPr>
              <w:t xml:space="preserve">,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3BCADA4F"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 </w:t>
            </w:r>
            <w:r w:rsidR="0083385E" w:rsidRPr="000E59B1">
              <w:rPr>
                <w:rFonts w:ascii="Times New Roman" w:hAnsi="Times New Roman"/>
                <w:color w:val="000000"/>
                <w:sz w:val="24"/>
                <w:szCs w:val="24"/>
                <w:lang w:val="uk-UA"/>
              </w:rPr>
              <w:t xml:space="preserve">інша інформація, відомості або документи, які Продавцем будуть визначені як такі, що відносяться до конфіденційної інформації. </w:t>
            </w:r>
          </w:p>
          <w:p w14:paraId="7025DFD7"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b/>
                <w:bCs/>
                <w:i/>
                <w:iCs/>
                <w:color w:val="000000"/>
                <w:sz w:val="24"/>
                <w:szCs w:val="24"/>
                <w:lang w:val="uk-UA"/>
              </w:rPr>
              <w:t>До конфіденційної інформації не належить</w:t>
            </w:r>
            <w:r w:rsidRPr="000E59B1">
              <w:rPr>
                <w:rFonts w:ascii="Times New Roman" w:hAnsi="Times New Roman"/>
                <w:color w:val="000000"/>
                <w:sz w:val="24"/>
                <w:szCs w:val="24"/>
                <w:lang w:val="uk-UA"/>
              </w:rPr>
              <w:t xml:space="preserve">: </w:t>
            </w:r>
          </w:p>
          <w:p w14:paraId="78091E75"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інформація, що є загальнодоступною іншим законним шляхом ніж через розкриття її Продавцем відповідно до умов цього Договору; </w:t>
            </w:r>
          </w:p>
          <w:p w14:paraId="10E26951" w14:textId="77777777" w:rsidR="00212A32" w:rsidRPr="00212A32" w:rsidRDefault="0083385E"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00212A32" w:rsidRPr="00212A32">
              <w:rPr>
                <w:rFonts w:ascii="Times New Roman" w:hAnsi="Times New Roman"/>
                <w:color w:val="000000"/>
                <w:sz w:val="24"/>
                <w:szCs w:val="24"/>
                <w:lang w:val="uk-UA"/>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58EEF0D0" w14:textId="77777777" w:rsidR="0083385E" w:rsidRPr="000E59B1" w:rsidRDefault="00212A32"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212A32">
              <w:rPr>
                <w:rFonts w:ascii="Times New Roman" w:hAnsi="Times New Roman"/>
                <w:color w:val="000000"/>
                <w:sz w:val="24"/>
                <w:szCs w:val="24"/>
                <w:lang w:val="uk-UA"/>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tc>
      </w:tr>
      <w:tr w:rsidR="0083385E" w:rsidRPr="000A6798" w14:paraId="52EB411A" w14:textId="77777777" w:rsidTr="005F0C51">
        <w:trPr>
          <w:trHeight w:val="45"/>
        </w:trPr>
        <w:tc>
          <w:tcPr>
            <w:tcW w:w="9960" w:type="dxa"/>
            <w:gridSpan w:val="4"/>
            <w:tcBorders>
              <w:top w:val="nil"/>
              <w:left w:val="nil"/>
              <w:bottom w:val="nil"/>
              <w:right w:val="nil"/>
            </w:tcBorders>
          </w:tcPr>
          <w:p w14:paraId="4D15A86D"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tc>
      </w:tr>
    </w:tbl>
    <w:p w14:paraId="262D64AE"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rsidSect="005F0C51">
          <w:footerReference w:type="default" r:id="rId8"/>
          <w:pgSz w:w="11926" w:h="16867"/>
          <w:pgMar w:top="1130" w:right="1130" w:bottom="1130" w:left="1130" w:header="708" w:footer="187"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77A60876" w14:textId="77777777" w:rsidTr="005F0C51">
        <w:trPr>
          <w:trHeight w:val="12333"/>
        </w:trPr>
        <w:tc>
          <w:tcPr>
            <w:tcW w:w="9948" w:type="dxa"/>
            <w:tcBorders>
              <w:top w:val="nil"/>
              <w:left w:val="nil"/>
              <w:bottom w:val="nil"/>
              <w:right w:val="nil"/>
            </w:tcBorders>
          </w:tcPr>
          <w:p w14:paraId="367C1FB5"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52D93AF2"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2. ПРЕДМЕТ ДОГОВОРУ</w:t>
            </w:r>
          </w:p>
          <w:p w14:paraId="72B727BC"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777C3E9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747B462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2.2. </w:t>
            </w:r>
            <w:r w:rsidR="0083385E" w:rsidRPr="000E59B1">
              <w:rPr>
                <w:rFonts w:ascii="Times New Roman" w:hAnsi="Times New Roman"/>
                <w:color w:val="000000"/>
                <w:sz w:val="24"/>
                <w:szCs w:val="24"/>
                <w:lang w:val="uk-UA"/>
              </w:rPr>
              <w:t xml:space="preserve">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38404C9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отримувач банківської таємниці та конфіденційної інформації та перелік наданої інформації; </w:t>
            </w:r>
          </w:p>
          <w:p w14:paraId="15C8379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підстава надання банківської таємниці та конфіденційної інформації (акт перевірки, протокол про вилучення, рішення суду, тощо). </w:t>
            </w:r>
          </w:p>
          <w:p w14:paraId="3D0A89A8"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2.3. Потенційним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584FC30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06F9CAF3"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3. ОБОВ'ЯЗКИ ПОТЕНЦІЙНОГО ПОКУПЦЯ</w:t>
            </w:r>
          </w:p>
          <w:p w14:paraId="37EB72DE"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5EA2770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Потенційний покупець зобов’язаний:</w:t>
            </w:r>
          </w:p>
          <w:p w14:paraId="19BD3338" w14:textId="60B8E7C2"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 Отримувати банківську таємницю, персональні дані та конфіденційну інформацію від Покупця у безпечний для їх нерозголошення спосіб. </w:t>
            </w:r>
          </w:p>
          <w:p w14:paraId="0A629F7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3.2. Не розголошувати у будь-який спосіб банківську таємницю та конфіденційну інформацію будь-якій іншій фізичній або юридичній особі, підприємству, організації та установі, не використовувати банківську таємницю та конфіденційну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 </w:t>
            </w:r>
          </w:p>
          <w:p w14:paraId="048D8ECD"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 </w:t>
            </w:r>
          </w:p>
          <w:p w14:paraId="45AC02C6"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3.4. </w:t>
            </w:r>
            <w:r w:rsidR="0083385E" w:rsidRPr="000E59B1">
              <w:rPr>
                <w:rFonts w:ascii="Times New Roman" w:hAnsi="Times New Roman"/>
                <w:color w:val="000000"/>
                <w:sz w:val="24"/>
                <w:szCs w:val="24"/>
                <w:lang w:val="uk-UA"/>
              </w:rPr>
              <w:t xml:space="preserve">Визначити перелік представників, які мають право доступу до банківської таємниці,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банківської таємниці,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банківську таємницю та конфіденційну інформацію, про нерозголошення персональних даних. </w:t>
            </w:r>
          </w:p>
          <w:p w14:paraId="72F33786"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3.5 Нести відповідальність за неналежне використання або за розголошення банківської таємниці та конфіденційної інформації, персональних даних будь-яким з представників </w:t>
            </w:r>
          </w:p>
        </w:tc>
      </w:tr>
    </w:tbl>
    <w:p w14:paraId="379F8F94"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055ABB51" w14:textId="77777777" w:rsidTr="005F0C51">
        <w:trPr>
          <w:trHeight w:val="12333"/>
        </w:trPr>
        <w:tc>
          <w:tcPr>
            <w:tcW w:w="9948" w:type="dxa"/>
            <w:tcBorders>
              <w:top w:val="nil"/>
              <w:left w:val="nil"/>
              <w:bottom w:val="nil"/>
              <w:right w:val="nil"/>
            </w:tcBorders>
          </w:tcPr>
          <w:p w14:paraId="7F53EC37"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lastRenderedPageBreak/>
              <w:t xml:space="preserve">Потенційного покупця відповідно до чинного законодавства і положень цього Договору; </w:t>
            </w:r>
          </w:p>
          <w:p w14:paraId="5199F6C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3.6. </w:t>
            </w:r>
            <w:r w:rsidR="0083385E" w:rsidRPr="000E59B1">
              <w:rPr>
                <w:rFonts w:ascii="Times New Roman" w:hAnsi="Times New Roman"/>
                <w:color w:val="000000"/>
                <w:sz w:val="24"/>
                <w:szCs w:val="24"/>
                <w:lang w:val="uk-UA"/>
              </w:rPr>
              <w:t xml:space="preserve">Вживати всі належні заходи для охорони банківської таємниці та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1A9E54B8"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3.7. </w:t>
            </w:r>
            <w:r w:rsidR="0083385E" w:rsidRPr="000E59B1">
              <w:rPr>
                <w:rFonts w:ascii="Times New Roman" w:hAnsi="Times New Roman"/>
                <w:color w:val="000000"/>
                <w:sz w:val="24"/>
                <w:szCs w:val="24"/>
                <w:lang w:val="uk-UA"/>
              </w:rPr>
              <w:t xml:space="preserve">Не вчиняти жодних дій, що можуть привести до несанкціонованого доступу до банківської таємниці, персональних даних та конфіденційної інформації третіх осіб та не використовувати банківську таємницю, персональні дані та конфіденційну інформацію у будь-яких цілях, крім передбачених угодами та домовленостями Сторін. </w:t>
            </w:r>
          </w:p>
          <w:p w14:paraId="4724D170"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3.8. </w:t>
            </w:r>
            <w:r w:rsidR="0083385E" w:rsidRPr="000E59B1">
              <w:rPr>
                <w:rFonts w:ascii="Times New Roman" w:hAnsi="Times New Roman"/>
                <w:color w:val="000000"/>
                <w:sz w:val="24"/>
                <w:szCs w:val="24"/>
                <w:lang w:val="uk-UA"/>
              </w:rPr>
              <w:t xml:space="preserve">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6A83912C"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3.9. Без попередньої письмової згоди Продавця не дублювати матеріали та документи, що стосуються банківської таємниці та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14:paraId="54653CD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3.10. </w:t>
            </w:r>
            <w:r w:rsidR="0083385E" w:rsidRPr="000E59B1">
              <w:rPr>
                <w:rFonts w:ascii="Times New Roman" w:hAnsi="Times New Roman"/>
                <w:color w:val="000000"/>
                <w:sz w:val="24"/>
                <w:szCs w:val="24"/>
                <w:lang w:val="uk-UA"/>
              </w:rPr>
              <w:t xml:space="preserve">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 </w:t>
            </w:r>
          </w:p>
          <w:p w14:paraId="4ADD027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1BB465B3"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4. ОСОБЛИВІ УМОВИ</w:t>
            </w:r>
          </w:p>
          <w:p w14:paraId="72AE4F07"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241AB8E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4.1. </w:t>
            </w:r>
            <w:r w:rsidR="0083385E" w:rsidRPr="000E59B1">
              <w:rPr>
                <w:rFonts w:ascii="Times New Roman" w:hAnsi="Times New Roman"/>
                <w:color w:val="000000"/>
                <w:sz w:val="24"/>
                <w:szCs w:val="24"/>
                <w:lang w:val="uk-UA"/>
              </w:rPr>
              <w:t xml:space="preserve">На письмову вимогу Продавця, банківська таємниця та конфіденційна інформація, отримана Потенційним покупцем, повинна негайно повертатися Потенційним покупцем Продавцеві або бути знищеною. </w:t>
            </w:r>
          </w:p>
          <w:p w14:paraId="30353FD4"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4.2. </w:t>
            </w:r>
            <w:r w:rsidR="0083385E" w:rsidRPr="000E59B1">
              <w:rPr>
                <w:rFonts w:ascii="Times New Roman" w:hAnsi="Times New Roman"/>
                <w:color w:val="000000"/>
                <w:sz w:val="24"/>
                <w:szCs w:val="24"/>
                <w:lang w:val="uk-UA"/>
              </w:rPr>
              <w:t xml:space="preserve">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 </w:t>
            </w:r>
          </w:p>
          <w:p w14:paraId="05DE78C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42CCAFE1"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r w:rsidRPr="000E59B1">
              <w:rPr>
                <w:rFonts w:ascii="Times New Roman" w:hAnsi="Times New Roman"/>
                <w:b/>
                <w:bCs/>
                <w:color w:val="000000"/>
                <w:sz w:val="24"/>
                <w:szCs w:val="24"/>
                <w:lang w:val="uk-UA"/>
              </w:rPr>
              <w:t>5. ВІДПОВІДАЛЬНІСТЬ ПОТЕНЦІЙНОГО ПОКУПЦЯ</w:t>
            </w:r>
          </w:p>
          <w:p w14:paraId="4184240E"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5.1. Потенційний покупець несе відповідальність за: </w:t>
            </w:r>
          </w:p>
          <w:p w14:paraId="0567F45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а) навмисне або ненавмисне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0015A3D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б) несанкціоноване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593B611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в) невиконання та недотримання вимог і зобов’язань, встановлених у пункті 4.1., пункті 3.10. цього Договору. </w:t>
            </w:r>
          </w:p>
          <w:p w14:paraId="5607D3F1"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5.2. </w:t>
            </w:r>
            <w:r w:rsidR="0083385E" w:rsidRPr="000E59B1">
              <w:rPr>
                <w:rFonts w:ascii="Times New Roman" w:hAnsi="Times New Roman"/>
                <w:color w:val="000000"/>
                <w:sz w:val="24"/>
                <w:szCs w:val="24"/>
                <w:lang w:val="uk-UA"/>
              </w:rPr>
              <w:t xml:space="preserve">У разі розголошення або використання банківської таємниці,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зобов'язаний відшкодувати у повному обсязі збитки, понесені Продавцем через </w:t>
            </w:r>
          </w:p>
        </w:tc>
      </w:tr>
    </w:tbl>
    <w:p w14:paraId="04D0C216"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63" w:type="dxa"/>
        <w:tblLayout w:type="fixed"/>
        <w:tblCellMar>
          <w:left w:w="15" w:type="dxa"/>
          <w:right w:w="15" w:type="dxa"/>
        </w:tblCellMar>
        <w:tblLook w:val="0000" w:firstRow="0" w:lastRow="0" w:firstColumn="0" w:lastColumn="0" w:noHBand="0" w:noVBand="0"/>
      </w:tblPr>
      <w:tblGrid>
        <w:gridCol w:w="4901"/>
        <w:gridCol w:w="57"/>
        <w:gridCol w:w="113"/>
        <w:gridCol w:w="4835"/>
        <w:gridCol w:w="57"/>
      </w:tblGrid>
      <w:tr w:rsidR="0083385E" w:rsidRPr="000E59B1" w14:paraId="5CFC75B0" w14:textId="77777777" w:rsidTr="003D504E">
        <w:trPr>
          <w:trHeight w:val="5729"/>
        </w:trPr>
        <w:tc>
          <w:tcPr>
            <w:tcW w:w="9963" w:type="dxa"/>
            <w:gridSpan w:val="5"/>
            <w:tcBorders>
              <w:top w:val="nil"/>
              <w:left w:val="nil"/>
              <w:bottom w:val="nil"/>
              <w:right w:val="nil"/>
            </w:tcBorders>
          </w:tcPr>
          <w:p w14:paraId="57B2672F"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розголошення цієї банківської таємниці, персональних даних та конфіденційної інформації. </w:t>
            </w:r>
          </w:p>
          <w:p w14:paraId="722D61D2" w14:textId="77777777" w:rsidR="0083385E" w:rsidRPr="000E59B1" w:rsidRDefault="0083385E">
            <w:pPr>
              <w:widowControl w:val="0"/>
              <w:autoSpaceDE w:val="0"/>
              <w:autoSpaceDN w:val="0"/>
              <w:adjustRightInd w:val="0"/>
              <w:spacing w:after="0" w:line="104" w:lineRule="atLeast"/>
              <w:jc w:val="both"/>
              <w:rPr>
                <w:rFonts w:ascii="Times New Roman" w:hAnsi="Times New Roman"/>
                <w:b/>
                <w:bCs/>
                <w:color w:val="000000"/>
                <w:sz w:val="24"/>
                <w:szCs w:val="24"/>
                <w:lang w:val="uk-UA"/>
              </w:rPr>
            </w:pPr>
          </w:p>
          <w:p w14:paraId="520E96C5" w14:textId="77777777" w:rsidR="0083385E" w:rsidRPr="000E59B1" w:rsidRDefault="0083385E">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ЗАКЛЮЧНІ ПОЛОЖЕННЯ</w:t>
            </w:r>
          </w:p>
          <w:p w14:paraId="14BAE98C" w14:textId="77777777" w:rsidR="0083385E" w:rsidRPr="000E59B1" w:rsidRDefault="0083385E">
            <w:pPr>
              <w:widowControl w:val="0"/>
              <w:autoSpaceDE w:val="0"/>
              <w:autoSpaceDN w:val="0"/>
              <w:adjustRightInd w:val="0"/>
              <w:spacing w:after="0" w:line="104" w:lineRule="atLeast"/>
              <w:jc w:val="center"/>
              <w:rPr>
                <w:rFonts w:ascii="Times New Roman" w:hAnsi="Times New Roman"/>
                <w:color w:val="000000"/>
                <w:sz w:val="24"/>
                <w:szCs w:val="24"/>
                <w:lang w:val="uk-UA"/>
              </w:rPr>
            </w:pPr>
          </w:p>
          <w:p w14:paraId="619E5B80"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6.1. </w:t>
            </w:r>
            <w:r w:rsidR="0083385E" w:rsidRPr="000E59B1">
              <w:rPr>
                <w:rFonts w:ascii="Times New Roman" w:hAnsi="Times New Roman"/>
                <w:color w:val="000000"/>
                <w:sz w:val="24"/>
                <w:szCs w:val="24"/>
                <w:lang w:val="uk-UA"/>
              </w:rPr>
              <w:t xml:space="preserve">Цей Договір вважається укладеним і набирає чинності з моменту його підписання Сторонами та діє протягом п’яти років з моменту його укладення. </w:t>
            </w:r>
          </w:p>
          <w:p w14:paraId="13292DD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2DCF8F7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0EC03262"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6.4. </w:t>
            </w:r>
            <w:r w:rsidR="0083385E" w:rsidRPr="000E59B1">
              <w:rPr>
                <w:rFonts w:ascii="Times New Roman" w:hAnsi="Times New Roman"/>
                <w:color w:val="000000"/>
                <w:sz w:val="24"/>
                <w:szCs w:val="24"/>
                <w:lang w:val="uk-UA"/>
              </w:rPr>
              <w:t xml:space="preserve">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7E59A520" w14:textId="309FF67D"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6.5. Зміна умов Договору або внесення доповнень до нього можлива тільки за згодою Сторін. </w:t>
            </w:r>
          </w:p>
          <w:p w14:paraId="5020C06C"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6.6. Всі зміни та доповнення до Договору здійснюються тільки у письмовій формі. </w:t>
            </w:r>
          </w:p>
          <w:p w14:paraId="1382DC8F" w14:textId="03BFDA4D"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6.7. Цей Договір може бути розірваний тільки за домовленістю Сторін, яка оформлюється додатковою угодою до цього Договору. </w:t>
            </w:r>
          </w:p>
          <w:p w14:paraId="1E540DF4"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0E59B1">
              <w:rPr>
                <w:rFonts w:ascii="Times New Roman" w:hAnsi="Times New Roman"/>
                <w:sz w:val="24"/>
                <w:szCs w:val="24"/>
                <w:lang w:val="uk-UA"/>
              </w:rPr>
              <w:t xml:space="preserve">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 </w:t>
            </w:r>
          </w:p>
          <w:p w14:paraId="19A7FF5E" w14:textId="77777777" w:rsidR="007B0A53" w:rsidRPr="000E59B1" w:rsidRDefault="007B0A53">
            <w:pPr>
              <w:widowControl w:val="0"/>
              <w:autoSpaceDE w:val="0"/>
              <w:autoSpaceDN w:val="0"/>
              <w:adjustRightInd w:val="0"/>
              <w:spacing w:after="0" w:line="104" w:lineRule="atLeast"/>
              <w:ind w:firstLine="708"/>
              <w:jc w:val="both"/>
              <w:rPr>
                <w:rFonts w:ascii="Times New Roman" w:hAnsi="Times New Roman"/>
                <w:b/>
                <w:bCs/>
                <w:color w:val="000000"/>
                <w:sz w:val="24"/>
                <w:szCs w:val="24"/>
                <w:lang w:val="uk-UA"/>
              </w:rPr>
            </w:pPr>
          </w:p>
        </w:tc>
      </w:tr>
      <w:tr w:rsidR="00836FAF" w:rsidRPr="000E59B1" w14:paraId="5B46A3F2" w14:textId="77777777" w:rsidTr="003D504E">
        <w:trPr>
          <w:trHeight w:val="2211"/>
        </w:trPr>
        <w:tc>
          <w:tcPr>
            <w:tcW w:w="4901" w:type="dxa"/>
            <w:vMerge w:val="restart"/>
            <w:tcBorders>
              <w:top w:val="nil"/>
              <w:left w:val="nil"/>
              <w:bottom w:val="nil"/>
              <w:right w:val="nil"/>
            </w:tcBorders>
          </w:tcPr>
          <w:p w14:paraId="5C3BD826" w14:textId="77777777" w:rsidR="00836FAF" w:rsidRDefault="000C71FC"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C71FC">
              <w:rPr>
                <w:rFonts w:ascii="Times New Roman" w:hAnsi="Times New Roman"/>
                <w:b/>
                <w:bCs/>
                <w:color w:val="000000"/>
                <w:sz w:val="24"/>
                <w:szCs w:val="24"/>
                <w:lang w:val="uk-UA"/>
              </w:rPr>
              <w:t>ПРОДАВЕЦЬ</w:t>
            </w:r>
          </w:p>
          <w:p w14:paraId="7EE00344" w14:textId="77777777" w:rsidR="000C71FC" w:rsidRPr="000E59B1" w:rsidRDefault="000C71FC"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7AA91E99" w14:textId="0798BEB9" w:rsidR="00836FAF" w:rsidRDefault="00836FAF" w:rsidP="00836FAF">
            <w:pPr>
              <w:shd w:val="clear" w:color="auto" w:fill="FFFFFF"/>
              <w:spacing w:after="0" w:line="240" w:lineRule="auto"/>
              <w:rPr>
                <w:rFonts w:ascii="Times New Roman" w:hAnsi="Times New Roman"/>
                <w:color w:val="000000"/>
                <w:sz w:val="24"/>
                <w:szCs w:val="24"/>
                <w:lang w:val="uk-UA" w:eastAsia="uk-UA"/>
              </w:rPr>
            </w:pPr>
            <w:r w:rsidRPr="000E59B1">
              <w:rPr>
                <w:rFonts w:ascii="Times New Roman" w:hAnsi="Times New Roman"/>
                <w:color w:val="000000"/>
                <w:sz w:val="24"/>
                <w:szCs w:val="24"/>
                <w:lang w:val="uk-UA" w:eastAsia="uk-UA"/>
              </w:rPr>
              <w:t>"</w:t>
            </w:r>
          </w:p>
          <w:p w14:paraId="4507CD44" w14:textId="77777777" w:rsidR="00836FAF" w:rsidRDefault="00836FAF" w:rsidP="00836FAF">
            <w:pPr>
              <w:shd w:val="clear" w:color="auto" w:fill="FFFFFF"/>
              <w:spacing w:after="0" w:line="240" w:lineRule="auto"/>
              <w:rPr>
                <w:rFonts w:ascii="Times New Roman" w:hAnsi="Times New Roman"/>
                <w:color w:val="000000"/>
                <w:sz w:val="24"/>
                <w:szCs w:val="24"/>
                <w:lang w:val="uk-UA" w:eastAsia="uk-UA"/>
              </w:rPr>
            </w:pPr>
          </w:p>
          <w:p w14:paraId="575A82F1" w14:textId="77777777" w:rsidR="00836FAF" w:rsidRPr="000E59B1" w:rsidRDefault="00836FAF" w:rsidP="00836FAF">
            <w:pPr>
              <w:shd w:val="clear" w:color="auto" w:fill="FFFFFF"/>
              <w:spacing w:after="0" w:line="240" w:lineRule="auto"/>
              <w:rPr>
                <w:rFonts w:ascii="Arial" w:hAnsi="Arial" w:cs="Arial"/>
                <w:color w:val="000000"/>
                <w:sz w:val="18"/>
                <w:szCs w:val="18"/>
                <w:lang w:val="uk-UA" w:eastAsia="uk-UA"/>
              </w:rPr>
            </w:pPr>
          </w:p>
          <w:p w14:paraId="465E3E34" w14:textId="77777777" w:rsidR="00836FAF" w:rsidRPr="000E59B1" w:rsidRDefault="00A25640" w:rsidP="00A25640">
            <w:pPr>
              <w:widowControl w:val="0"/>
              <w:autoSpaceDE w:val="0"/>
              <w:autoSpaceDN w:val="0"/>
              <w:adjustRightInd w:val="0"/>
              <w:spacing w:after="0" w:line="104" w:lineRule="atLeast"/>
              <w:jc w:val="both"/>
              <w:rPr>
                <w:rFonts w:ascii="Times New Roman" w:hAnsi="Times New Roman"/>
                <w:color w:val="000000"/>
                <w:lang w:val="uk-UA"/>
              </w:rPr>
            </w:pPr>
            <w:r>
              <w:rPr>
                <w:rFonts w:ascii="Times New Roman" w:hAnsi="Times New Roman"/>
                <w:color w:val="000000"/>
                <w:lang w:val="uk-UA"/>
              </w:rPr>
              <w:t>Д</w:t>
            </w:r>
            <w:r w:rsidR="00836FAF" w:rsidRPr="000E59B1">
              <w:rPr>
                <w:rFonts w:ascii="Times New Roman" w:hAnsi="Times New Roman"/>
                <w:color w:val="000000"/>
                <w:lang w:val="uk-UA"/>
              </w:rPr>
              <w:t>иректор</w:t>
            </w:r>
          </w:p>
          <w:p w14:paraId="288524E3"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p>
          <w:p w14:paraId="16E4E3B2" w14:textId="09D97A1B"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color w:val="000000"/>
                <w:sz w:val="24"/>
                <w:szCs w:val="24"/>
                <w:lang w:val="uk-UA"/>
              </w:rPr>
            </w:pPr>
            <w:r w:rsidRPr="000E59B1">
              <w:rPr>
                <w:rFonts w:ascii="Times New Roman" w:hAnsi="Times New Roman"/>
                <w:b/>
                <w:color w:val="000000"/>
                <w:sz w:val="24"/>
                <w:szCs w:val="24"/>
                <w:lang w:val="uk-UA"/>
              </w:rPr>
              <w:t xml:space="preserve">____________  </w:t>
            </w:r>
          </w:p>
          <w:p w14:paraId="65FFE539"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М.П.</w:t>
            </w:r>
          </w:p>
          <w:p w14:paraId="2509B970" w14:textId="77777777" w:rsidR="00836FAF" w:rsidRPr="000E59B1" w:rsidRDefault="00836FAF" w:rsidP="00836FAF">
            <w:pPr>
              <w:widowControl w:val="0"/>
              <w:autoSpaceDE w:val="0"/>
              <w:autoSpaceDN w:val="0"/>
              <w:adjustRightInd w:val="0"/>
              <w:spacing w:after="0" w:line="104" w:lineRule="atLeast"/>
              <w:rPr>
                <w:rFonts w:ascii="Times New Roman" w:hAnsi="Times New Roman"/>
                <w:color w:val="000000"/>
                <w:sz w:val="24"/>
                <w:szCs w:val="24"/>
                <w:lang w:val="uk-UA"/>
              </w:rPr>
            </w:pPr>
          </w:p>
        </w:tc>
        <w:tc>
          <w:tcPr>
            <w:tcW w:w="57" w:type="dxa"/>
            <w:vMerge w:val="restart"/>
            <w:tcBorders>
              <w:top w:val="nil"/>
              <w:left w:val="nil"/>
              <w:bottom w:val="nil"/>
              <w:right w:val="nil"/>
            </w:tcBorders>
          </w:tcPr>
          <w:p w14:paraId="011BCF97" w14:textId="465171E4" w:rsidR="00836FAF" w:rsidRPr="00463C4F" w:rsidRDefault="00463C4F" w:rsidP="00836FAF">
            <w:pPr>
              <w:widowControl w:val="0"/>
              <w:autoSpaceDE w:val="0"/>
              <w:autoSpaceDN w:val="0"/>
              <w:adjustRightInd w:val="0"/>
              <w:spacing w:after="0" w:line="240" w:lineRule="auto"/>
              <w:rPr>
                <w:rFonts w:cs="MS Sans Serif"/>
                <w:color w:val="000000"/>
                <w:sz w:val="20"/>
                <w:szCs w:val="20"/>
                <w:lang w:val="uk-UA"/>
              </w:rPr>
            </w:pPr>
            <w:r>
              <w:rPr>
                <w:rFonts w:cs="MS Sans Serif"/>
                <w:color w:val="000000"/>
                <w:sz w:val="20"/>
                <w:szCs w:val="20"/>
                <w:lang w:val="uk-UA"/>
              </w:rPr>
              <w:t>Директор</w:t>
            </w:r>
          </w:p>
        </w:tc>
        <w:tc>
          <w:tcPr>
            <w:tcW w:w="5005" w:type="dxa"/>
            <w:gridSpan w:val="3"/>
            <w:tcBorders>
              <w:top w:val="nil"/>
              <w:left w:val="nil"/>
              <w:bottom w:val="nil"/>
              <w:right w:val="nil"/>
            </w:tcBorders>
          </w:tcPr>
          <w:p w14:paraId="22F7756D"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ПОТЕНЦІЙНИЙ ПОКУПЕЦЬ</w:t>
            </w:r>
          </w:p>
          <w:p w14:paraId="23229600" w14:textId="77777777" w:rsidR="00F078E6" w:rsidRDefault="00F078E6" w:rsidP="00F078E6">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02BC5389" w14:textId="77777777" w:rsidR="00463C4F" w:rsidRPr="00F078E6" w:rsidRDefault="00463C4F" w:rsidP="00F078E6">
            <w:pPr>
              <w:widowControl w:val="0"/>
              <w:autoSpaceDE w:val="0"/>
              <w:autoSpaceDN w:val="0"/>
              <w:adjustRightInd w:val="0"/>
              <w:spacing w:after="0" w:line="104" w:lineRule="atLeast"/>
              <w:ind w:left="4"/>
              <w:jc w:val="both"/>
              <w:rPr>
                <w:rFonts w:ascii="Times New Roman" w:hAnsi="Times New Roman"/>
                <w:color w:val="000000"/>
                <w:lang w:val="uk-UA"/>
              </w:rPr>
            </w:pPr>
          </w:p>
          <w:p w14:paraId="5B3A418D" w14:textId="644B2A47"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color w:val="000000"/>
                <w:lang w:val="uk-UA"/>
              </w:rPr>
            </w:pPr>
          </w:p>
          <w:p w14:paraId="64F1A206" w14:textId="77777777"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color w:val="000000"/>
                <w:lang w:val="uk-UA"/>
              </w:rPr>
            </w:pPr>
          </w:p>
          <w:p w14:paraId="034DC4E6" w14:textId="48229D6F" w:rsidR="00F078E6" w:rsidRPr="00F078E6" w:rsidRDefault="00463C4F" w:rsidP="00F078E6">
            <w:pPr>
              <w:widowControl w:val="0"/>
              <w:autoSpaceDE w:val="0"/>
              <w:autoSpaceDN w:val="0"/>
              <w:adjustRightInd w:val="0"/>
              <w:spacing w:after="0" w:line="104" w:lineRule="atLeast"/>
              <w:ind w:left="4"/>
              <w:jc w:val="both"/>
              <w:rPr>
                <w:rFonts w:ascii="Times New Roman" w:hAnsi="Times New Roman"/>
                <w:color w:val="000000"/>
                <w:lang w:val="uk-UA"/>
              </w:rPr>
            </w:pPr>
            <w:r>
              <w:rPr>
                <w:rFonts w:ascii="Times New Roman" w:hAnsi="Times New Roman"/>
                <w:color w:val="000000"/>
                <w:lang w:val="uk-UA"/>
              </w:rPr>
              <w:t>Директор</w:t>
            </w:r>
          </w:p>
          <w:p w14:paraId="59875EE1" w14:textId="77777777"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394FC7D7" w14:textId="554D0A80" w:rsidR="00F078E6" w:rsidRPr="00F078E6" w:rsidRDefault="00F078E6" w:rsidP="00F078E6">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F078E6">
              <w:rPr>
                <w:rFonts w:ascii="Times New Roman" w:hAnsi="Times New Roman"/>
                <w:b/>
                <w:bCs/>
                <w:color w:val="000000"/>
                <w:sz w:val="24"/>
                <w:szCs w:val="24"/>
                <w:lang w:val="uk-UA"/>
              </w:rPr>
              <w:t xml:space="preserve">____________  </w:t>
            </w:r>
          </w:p>
          <w:p w14:paraId="0A609877" w14:textId="44B25560" w:rsidR="00836FAF" w:rsidRPr="00463C4F" w:rsidRDefault="00F078E6" w:rsidP="00F078E6">
            <w:pPr>
              <w:widowControl w:val="0"/>
              <w:autoSpaceDE w:val="0"/>
              <w:autoSpaceDN w:val="0"/>
              <w:adjustRightInd w:val="0"/>
              <w:spacing w:after="0" w:line="104" w:lineRule="atLeast"/>
              <w:ind w:left="4"/>
              <w:jc w:val="both"/>
              <w:rPr>
                <w:rFonts w:ascii="Times New Roman" w:hAnsi="Times New Roman"/>
                <w:color w:val="000000"/>
                <w:sz w:val="24"/>
                <w:szCs w:val="24"/>
                <w:lang w:val="uk-UA"/>
              </w:rPr>
            </w:pPr>
            <w:r w:rsidRPr="00463C4F">
              <w:rPr>
                <w:rFonts w:ascii="Times New Roman" w:hAnsi="Times New Roman"/>
                <w:color w:val="000000"/>
                <w:sz w:val="24"/>
                <w:szCs w:val="24"/>
                <w:lang w:val="uk-UA"/>
              </w:rPr>
              <w:t>М.П.</w:t>
            </w:r>
          </w:p>
          <w:p w14:paraId="36C5BF3F" w14:textId="77777777" w:rsidR="00836FAF" w:rsidRPr="000E59B1" w:rsidRDefault="00836FAF" w:rsidP="00836FAF">
            <w:pPr>
              <w:shd w:val="clear" w:color="auto" w:fill="FFFFFF"/>
              <w:spacing w:after="0" w:line="240" w:lineRule="auto"/>
              <w:rPr>
                <w:rFonts w:ascii="Times New Roman" w:hAnsi="Times New Roman"/>
                <w:color w:val="000000"/>
                <w:sz w:val="20"/>
                <w:szCs w:val="20"/>
                <w:lang w:val="uk-UA"/>
              </w:rPr>
            </w:pPr>
          </w:p>
        </w:tc>
      </w:tr>
      <w:tr w:rsidR="00836FAF" w:rsidRPr="000E59B1" w14:paraId="79D657FE" w14:textId="77777777" w:rsidTr="003D504E">
        <w:trPr>
          <w:trHeight w:val="98"/>
        </w:trPr>
        <w:tc>
          <w:tcPr>
            <w:tcW w:w="4901" w:type="dxa"/>
            <w:vMerge/>
            <w:tcBorders>
              <w:top w:val="nil"/>
              <w:left w:val="nil"/>
              <w:bottom w:val="nil"/>
              <w:right w:val="nil"/>
            </w:tcBorders>
          </w:tcPr>
          <w:p w14:paraId="400C6B28"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7" w:type="dxa"/>
            <w:vMerge/>
            <w:tcBorders>
              <w:top w:val="nil"/>
              <w:left w:val="nil"/>
              <w:bottom w:val="nil"/>
              <w:right w:val="nil"/>
            </w:tcBorders>
          </w:tcPr>
          <w:p w14:paraId="3777BB1E"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005" w:type="dxa"/>
            <w:gridSpan w:val="3"/>
            <w:tcBorders>
              <w:top w:val="nil"/>
              <w:left w:val="nil"/>
              <w:bottom w:val="nil"/>
              <w:right w:val="nil"/>
            </w:tcBorders>
          </w:tcPr>
          <w:p w14:paraId="075242B9" w14:textId="77777777" w:rsidR="00836FAF" w:rsidRPr="000E59B1" w:rsidRDefault="00836FAF" w:rsidP="00836FAF">
            <w:pPr>
              <w:widowControl w:val="0"/>
              <w:autoSpaceDE w:val="0"/>
              <w:autoSpaceDN w:val="0"/>
              <w:adjustRightInd w:val="0"/>
              <w:spacing w:after="0" w:line="240" w:lineRule="auto"/>
              <w:jc w:val="both"/>
              <w:rPr>
                <w:rFonts w:ascii="MS Sans Serif" w:hAnsi="MS Sans Serif" w:cs="MS Sans Serif"/>
                <w:color w:val="000000"/>
                <w:sz w:val="6"/>
                <w:szCs w:val="6"/>
              </w:rPr>
            </w:pPr>
          </w:p>
        </w:tc>
      </w:tr>
      <w:tr w:rsidR="00836FAF" w:rsidRPr="007B0A53" w14:paraId="637ACFCC" w14:textId="77777777" w:rsidTr="003D504E">
        <w:trPr>
          <w:trHeight w:val="1474"/>
        </w:trPr>
        <w:tc>
          <w:tcPr>
            <w:tcW w:w="4901" w:type="dxa"/>
            <w:vMerge/>
            <w:tcBorders>
              <w:top w:val="nil"/>
              <w:left w:val="nil"/>
              <w:bottom w:val="nil"/>
              <w:right w:val="nil"/>
            </w:tcBorders>
          </w:tcPr>
          <w:p w14:paraId="2EFAB298"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57" w:type="dxa"/>
            <w:vMerge/>
            <w:tcBorders>
              <w:top w:val="nil"/>
              <w:left w:val="nil"/>
              <w:bottom w:val="nil"/>
              <w:right w:val="nil"/>
            </w:tcBorders>
          </w:tcPr>
          <w:p w14:paraId="62A24CDB"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113" w:type="dxa"/>
            <w:tcBorders>
              <w:top w:val="nil"/>
              <w:left w:val="nil"/>
              <w:bottom w:val="nil"/>
              <w:right w:val="nil"/>
            </w:tcBorders>
          </w:tcPr>
          <w:p w14:paraId="076B4D05" w14:textId="77777777" w:rsidR="00836FAF" w:rsidRPr="000E59B1" w:rsidRDefault="00836FAF" w:rsidP="00836FAF">
            <w:pPr>
              <w:widowControl w:val="0"/>
              <w:autoSpaceDE w:val="0"/>
              <w:autoSpaceDN w:val="0"/>
              <w:adjustRightInd w:val="0"/>
              <w:spacing w:after="0" w:line="240" w:lineRule="auto"/>
              <w:ind w:left="4"/>
              <w:jc w:val="both"/>
              <w:rPr>
                <w:rFonts w:ascii="MS Sans Serif" w:hAnsi="MS Sans Serif" w:cs="MS Sans Serif"/>
                <w:color w:val="000000"/>
                <w:sz w:val="20"/>
                <w:szCs w:val="20"/>
                <w:lang w:val="uk-UA"/>
              </w:rPr>
            </w:pPr>
          </w:p>
        </w:tc>
        <w:tc>
          <w:tcPr>
            <w:tcW w:w="4835" w:type="dxa"/>
            <w:tcBorders>
              <w:top w:val="nil"/>
              <w:left w:val="nil"/>
              <w:bottom w:val="nil"/>
              <w:right w:val="nil"/>
            </w:tcBorders>
          </w:tcPr>
          <w:p w14:paraId="3A767C07" w14:textId="77777777" w:rsidR="00836FAF" w:rsidRPr="000E59B1" w:rsidRDefault="00836FAF" w:rsidP="00836FAF">
            <w:pPr>
              <w:widowControl w:val="0"/>
              <w:autoSpaceDE w:val="0"/>
              <w:autoSpaceDN w:val="0"/>
              <w:adjustRightInd w:val="0"/>
              <w:spacing w:after="0" w:line="104" w:lineRule="atLeast"/>
              <w:ind w:left="4"/>
              <w:jc w:val="both"/>
              <w:rPr>
                <w:rFonts w:ascii="MS Sans Serif" w:hAnsi="MS Sans Serif" w:cs="MS Sans Serif"/>
                <w:color w:val="000000"/>
                <w:sz w:val="16"/>
                <w:szCs w:val="16"/>
                <w:lang w:val="uk-UA"/>
              </w:rPr>
            </w:pPr>
          </w:p>
        </w:tc>
        <w:tc>
          <w:tcPr>
            <w:tcW w:w="57" w:type="dxa"/>
            <w:tcBorders>
              <w:top w:val="nil"/>
              <w:left w:val="nil"/>
              <w:bottom w:val="nil"/>
              <w:right w:val="nil"/>
            </w:tcBorders>
          </w:tcPr>
          <w:p w14:paraId="6E80EFC2" w14:textId="77777777" w:rsidR="00836FAF" w:rsidRPr="007B0A53" w:rsidRDefault="00836FAF" w:rsidP="00836FAF">
            <w:pPr>
              <w:widowControl w:val="0"/>
              <w:autoSpaceDE w:val="0"/>
              <w:autoSpaceDN w:val="0"/>
              <w:adjustRightInd w:val="0"/>
              <w:spacing w:after="0" w:line="240" w:lineRule="auto"/>
              <w:rPr>
                <w:rFonts w:ascii="MS Sans Serif" w:hAnsi="MS Sans Serif" w:cs="MS Sans Serif"/>
                <w:color w:val="000000"/>
                <w:sz w:val="20"/>
                <w:szCs w:val="20"/>
                <w:lang w:val="uk-UA"/>
              </w:rPr>
            </w:pPr>
          </w:p>
        </w:tc>
      </w:tr>
    </w:tbl>
    <w:p w14:paraId="7982BBB8" w14:textId="77777777" w:rsidR="0083385E" w:rsidRPr="007B0A53" w:rsidRDefault="0083385E">
      <w:pPr>
        <w:rPr>
          <w:lang w:val="uk-UA"/>
        </w:rPr>
      </w:pPr>
    </w:p>
    <w:sectPr w:rsidR="0083385E" w:rsidRPr="007B0A53">
      <w:pgSz w:w="11926" w:h="16867"/>
      <w:pgMar w:top="1130" w:right="1130" w:bottom="1130" w:left="113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04C31" w14:textId="77777777" w:rsidR="00573269" w:rsidRDefault="00573269" w:rsidP="005F0C51">
      <w:pPr>
        <w:spacing w:after="0" w:line="240" w:lineRule="auto"/>
      </w:pPr>
      <w:r>
        <w:separator/>
      </w:r>
    </w:p>
  </w:endnote>
  <w:endnote w:type="continuationSeparator" w:id="0">
    <w:p w14:paraId="341CBD08" w14:textId="77777777" w:rsidR="00573269" w:rsidRDefault="00573269" w:rsidP="005F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CF8C" w14:textId="77777777" w:rsidR="005F0C51" w:rsidRDefault="005F0C51">
    <w:pPr>
      <w:pStyle w:val="a7"/>
    </w:pPr>
    <w:r w:rsidRPr="000E59B1">
      <w:rPr>
        <w:rFonts w:ascii="Times New Roman" w:hAnsi="Times New Roman"/>
        <w:color w:val="000000"/>
        <w:sz w:val="18"/>
        <w:szCs w:val="18"/>
        <w:lang w:val="uk-UA"/>
      </w:rPr>
      <w:t>_____________________/Продавець/</w:t>
    </w:r>
    <w:r w:rsidRPr="000E59B1">
      <w:rPr>
        <w:rFonts w:ascii="Times New Roman" w:hAnsi="Times New Roman"/>
        <w:color w:val="000000"/>
        <w:sz w:val="18"/>
        <w:szCs w:val="18"/>
        <w:lang w:val="uk-UA"/>
      </w:rPr>
      <w:tab/>
      <w:t xml:space="preserve">                            </w:t>
    </w:r>
    <w:r>
      <w:rPr>
        <w:rFonts w:ascii="Times New Roman" w:hAnsi="Times New Roman"/>
        <w:color w:val="000000"/>
        <w:sz w:val="18"/>
        <w:szCs w:val="18"/>
        <w:lang w:val="uk-UA"/>
      </w:rPr>
      <w:t xml:space="preserve">           </w:t>
    </w:r>
    <w:r w:rsidRPr="000E59B1">
      <w:rPr>
        <w:rFonts w:ascii="Times New Roman" w:hAnsi="Times New Roman"/>
        <w:color w:val="000000"/>
        <w:sz w:val="18"/>
        <w:szCs w:val="18"/>
        <w:lang w:val="uk-UA"/>
      </w:rPr>
      <w:t xml:space="preserve">           ____________/Потенційний Покупець/</w:t>
    </w:r>
  </w:p>
  <w:p w14:paraId="3947F3C5" w14:textId="77777777" w:rsidR="005F0C51" w:rsidRDefault="005F0C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704A" w14:textId="77777777" w:rsidR="00573269" w:rsidRDefault="00573269" w:rsidP="005F0C51">
      <w:pPr>
        <w:spacing w:after="0" w:line="240" w:lineRule="auto"/>
      </w:pPr>
      <w:r>
        <w:separator/>
      </w:r>
    </w:p>
  </w:footnote>
  <w:footnote w:type="continuationSeparator" w:id="0">
    <w:p w14:paraId="1AAF3BF4" w14:textId="77777777" w:rsidR="00573269" w:rsidRDefault="00573269" w:rsidP="005F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53"/>
    <w:rsid w:val="0000786A"/>
    <w:rsid w:val="00030257"/>
    <w:rsid w:val="000A6798"/>
    <w:rsid w:val="000B31DC"/>
    <w:rsid w:val="000C71FC"/>
    <w:rsid w:val="000D0F30"/>
    <w:rsid w:val="000D35AF"/>
    <w:rsid w:val="000E59B1"/>
    <w:rsid w:val="00105734"/>
    <w:rsid w:val="00187FD1"/>
    <w:rsid w:val="001A171A"/>
    <w:rsid w:val="00206D9F"/>
    <w:rsid w:val="00212A32"/>
    <w:rsid w:val="00223A54"/>
    <w:rsid w:val="002245D6"/>
    <w:rsid w:val="00275334"/>
    <w:rsid w:val="002D7DCD"/>
    <w:rsid w:val="0034076A"/>
    <w:rsid w:val="0035098F"/>
    <w:rsid w:val="00371F07"/>
    <w:rsid w:val="003C28A8"/>
    <w:rsid w:val="003D504E"/>
    <w:rsid w:val="003E37BF"/>
    <w:rsid w:val="00420D1E"/>
    <w:rsid w:val="0043216B"/>
    <w:rsid w:val="004620AD"/>
    <w:rsid w:val="00463C4F"/>
    <w:rsid w:val="004A47D0"/>
    <w:rsid w:val="00572AFB"/>
    <w:rsid w:val="00573269"/>
    <w:rsid w:val="005F0C51"/>
    <w:rsid w:val="005F5F54"/>
    <w:rsid w:val="00645A7E"/>
    <w:rsid w:val="006C03F9"/>
    <w:rsid w:val="007B0A53"/>
    <w:rsid w:val="0083385E"/>
    <w:rsid w:val="00836FAF"/>
    <w:rsid w:val="008B10BF"/>
    <w:rsid w:val="008F449C"/>
    <w:rsid w:val="0094651D"/>
    <w:rsid w:val="009653B8"/>
    <w:rsid w:val="009C24B4"/>
    <w:rsid w:val="009C30C9"/>
    <w:rsid w:val="009C4F5B"/>
    <w:rsid w:val="009F31CB"/>
    <w:rsid w:val="00A02ED4"/>
    <w:rsid w:val="00A25640"/>
    <w:rsid w:val="00B11449"/>
    <w:rsid w:val="00B21E08"/>
    <w:rsid w:val="00B8318E"/>
    <w:rsid w:val="00B90FEB"/>
    <w:rsid w:val="00C44D81"/>
    <w:rsid w:val="00CE1FCA"/>
    <w:rsid w:val="00D00B73"/>
    <w:rsid w:val="00D277AA"/>
    <w:rsid w:val="00D5064A"/>
    <w:rsid w:val="00DA46D9"/>
    <w:rsid w:val="00DE4549"/>
    <w:rsid w:val="00F070D1"/>
    <w:rsid w:val="00F078E6"/>
    <w:rsid w:val="00F4411C"/>
    <w:rsid w:val="00F637FF"/>
    <w:rsid w:val="00F80141"/>
    <w:rsid w:val="00FE2ED8"/>
    <w:rsid w:val="00FE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BD4AF"/>
  <w14:defaultImageDpi w14:val="0"/>
  <w15:docId w15:val="{78654727-F5D7-4115-A6C3-579B2FD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9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0E59B1"/>
    <w:rPr>
      <w:rFonts w:ascii="Segoe UI" w:hAnsi="Segoe UI" w:cs="Segoe UI"/>
      <w:sz w:val="18"/>
      <w:szCs w:val="18"/>
      <w:lang w:val="ru-RU" w:eastAsia="ru-RU"/>
    </w:rPr>
  </w:style>
  <w:style w:type="paragraph" w:styleId="a5">
    <w:name w:val="header"/>
    <w:basedOn w:val="a"/>
    <w:link w:val="a6"/>
    <w:uiPriority w:val="99"/>
    <w:rsid w:val="005F0C51"/>
    <w:pPr>
      <w:tabs>
        <w:tab w:val="center" w:pos="4819"/>
        <w:tab w:val="right" w:pos="9639"/>
      </w:tabs>
    </w:pPr>
  </w:style>
  <w:style w:type="character" w:customStyle="1" w:styleId="a6">
    <w:name w:val="Верхний колонтитул Знак"/>
    <w:basedOn w:val="a0"/>
    <w:link w:val="a5"/>
    <w:uiPriority w:val="99"/>
    <w:locked/>
    <w:rsid w:val="005F0C51"/>
    <w:rPr>
      <w:rFonts w:cs="Times New Roman"/>
      <w:lang w:val="ru-RU" w:eastAsia="ru-RU"/>
    </w:rPr>
  </w:style>
  <w:style w:type="paragraph" w:styleId="a7">
    <w:name w:val="footer"/>
    <w:basedOn w:val="a"/>
    <w:link w:val="a8"/>
    <w:uiPriority w:val="99"/>
    <w:rsid w:val="005F0C51"/>
    <w:pPr>
      <w:tabs>
        <w:tab w:val="center" w:pos="4819"/>
        <w:tab w:val="right" w:pos="9639"/>
      </w:tabs>
    </w:pPr>
  </w:style>
  <w:style w:type="character" w:customStyle="1" w:styleId="a8">
    <w:name w:val="Нижний колонтитул Знак"/>
    <w:basedOn w:val="a0"/>
    <w:link w:val="a7"/>
    <w:uiPriority w:val="99"/>
    <w:locked/>
    <w:rsid w:val="005F0C51"/>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9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9B80-46B2-48D0-82F1-882DA38D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1389</Words>
  <Characters>9786</Characters>
  <Application>Microsoft Office Word</Application>
  <DocSecurity>4</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Вячеслав Приходько</cp:lastModifiedBy>
  <cp:revision>2</cp:revision>
  <cp:lastPrinted>2020-08-19T12:48:00Z</cp:lastPrinted>
  <dcterms:created xsi:type="dcterms:W3CDTF">2021-11-25T13:03:00Z</dcterms:created>
  <dcterms:modified xsi:type="dcterms:W3CDTF">2021-11-25T13:03:00Z</dcterms:modified>
</cp:coreProperties>
</file>