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951820"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951820"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951820"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555158"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555158"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423B5">
            <w:pPr>
              <w:pStyle w:val="aa"/>
              <w:ind w:right="356"/>
              <w:rPr>
                <w:rFonts w:ascii="Times New Roman" w:hAnsi="Times New Roman"/>
                <w:b/>
                <w:sz w:val="20"/>
                <w:szCs w:val="20"/>
                <w:lang w:val="uk-UA" w:eastAsia="ru-RU"/>
              </w:rPr>
            </w:pPr>
            <w:r w:rsidRPr="001F6C86">
              <w:rPr>
                <w:rFonts w:ascii="Times New Roman" w:hAnsi="Times New Roman"/>
                <w:b/>
                <w:sz w:val="20"/>
                <w:szCs w:val="20"/>
              </w:rPr>
              <w:t xml:space="preserve">Нежитлове приміщення </w:t>
            </w:r>
            <w:r>
              <w:rPr>
                <w:rFonts w:ascii="Times New Roman" w:hAnsi="Times New Roman"/>
                <w:b/>
                <w:sz w:val="20"/>
                <w:szCs w:val="20"/>
                <w:lang w:val="uk-UA"/>
              </w:rPr>
              <w:t xml:space="preserve">на </w:t>
            </w:r>
            <w:r w:rsidR="008423B5">
              <w:rPr>
                <w:rFonts w:ascii="Times New Roman" w:hAnsi="Times New Roman"/>
                <w:b/>
                <w:sz w:val="20"/>
                <w:szCs w:val="20"/>
                <w:lang w:val="uk-UA"/>
              </w:rPr>
              <w:t>четвертому</w:t>
            </w:r>
            <w:r>
              <w:rPr>
                <w:rFonts w:ascii="Times New Roman" w:hAnsi="Times New Roman"/>
                <w:b/>
                <w:sz w:val="20"/>
                <w:szCs w:val="20"/>
                <w:lang w:val="uk-UA"/>
              </w:rPr>
              <w:t xml:space="preserve">  поверсі </w:t>
            </w:r>
            <w:r w:rsidRPr="001F6C86">
              <w:rPr>
                <w:rFonts w:ascii="Times New Roman" w:hAnsi="Times New Roman"/>
                <w:b/>
                <w:sz w:val="20"/>
                <w:szCs w:val="20"/>
              </w:rPr>
              <w:t xml:space="preserve">загальною площею </w:t>
            </w:r>
            <w:r w:rsidR="008423B5">
              <w:rPr>
                <w:rFonts w:ascii="Times New Roman" w:hAnsi="Times New Roman"/>
                <w:b/>
                <w:sz w:val="20"/>
                <w:szCs w:val="20"/>
                <w:lang w:val="uk-UA"/>
              </w:rPr>
              <w:t>184,53</w:t>
            </w:r>
            <w:r w:rsidRPr="001F6C86">
              <w:rPr>
                <w:rFonts w:ascii="Times New Roman" w:hAnsi="Times New Roman"/>
                <w:b/>
                <w:sz w:val="20"/>
                <w:szCs w:val="20"/>
              </w:rPr>
              <w:t xml:space="preserve"> кв.</w:t>
            </w:r>
            <w:r w:rsidRPr="001F6C86">
              <w:rPr>
                <w:rFonts w:ascii="Times New Roman" w:hAnsi="Times New Roman"/>
                <w:b/>
                <w:sz w:val="20"/>
                <w:szCs w:val="20"/>
                <w:lang w:val="uk-UA"/>
              </w:rPr>
              <w:t xml:space="preserve"> </w:t>
            </w:r>
            <w:r w:rsidRPr="001F6C86">
              <w:rPr>
                <w:rFonts w:ascii="Times New Roman" w:hAnsi="Times New Roman"/>
                <w:b/>
                <w:sz w:val="20"/>
                <w:szCs w:val="20"/>
              </w:rPr>
              <w:t>м,</w:t>
            </w:r>
            <w:r w:rsidRPr="001F6C86">
              <w:rPr>
                <w:rFonts w:ascii="Times New Roman" w:hAnsi="Times New Roman"/>
                <w:b/>
                <w:sz w:val="20"/>
                <w:szCs w:val="20"/>
                <w:lang w:val="uk-UA"/>
              </w:rPr>
              <w:t xml:space="preserve"> за адресою: </w:t>
            </w:r>
            <w:r w:rsidR="008423B5">
              <w:rPr>
                <w:rFonts w:ascii="Times New Roman" w:hAnsi="Times New Roman"/>
                <w:b/>
                <w:sz w:val="20"/>
                <w:szCs w:val="20"/>
                <w:lang w:val="uk-UA"/>
              </w:rPr>
              <w:t>проспект Соборності, 12-В</w:t>
            </w:r>
            <w:r w:rsidR="00E01EC9">
              <w:rPr>
                <w:rFonts w:ascii="Times New Roman" w:hAnsi="Times New Roman"/>
                <w:b/>
                <w:sz w:val="20"/>
                <w:szCs w:val="20"/>
                <w:lang w:val="uk-UA"/>
              </w:rPr>
              <w:t xml:space="preserve"> (НВК 167)</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 xml:space="preserve">червня 2020 </w:t>
              </w:r>
              <w:r w:rsidRPr="00FC78B8">
                <w:rPr>
                  <w:rFonts w:ascii="Times New Roman" w:eastAsia="Times New Roman" w:hAnsi="Times New Roman"/>
                  <w:color w:val="000000"/>
                  <w:sz w:val="20"/>
                  <w:szCs w:val="20"/>
                  <w:lang w:eastAsia="ru-RU"/>
                </w:rPr>
                <w:lastRenderedPageBreak/>
                <w:t>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опубліковане 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951820"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Pr="002B71AF">
              <w:rPr>
                <w:rFonts w:ascii="Times New Roman" w:hAnsi="Times New Roman"/>
                <w:sz w:val="20"/>
                <w:szCs w:val="20"/>
                <w:lang w:eastAsia="ru-RU"/>
              </w:rPr>
              <w:t>ей договір є договором типу (</w:t>
            </w:r>
            <w:r w:rsidR="00701500">
              <w:rPr>
                <w:rFonts w:ascii="Times New Roman" w:hAnsi="Times New Roman"/>
                <w:sz w:val="20"/>
                <w:szCs w:val="20"/>
                <w:lang w:val="uk-UA" w:eastAsia="ru-RU"/>
              </w:rPr>
              <w:t>В</w:t>
            </w:r>
            <w:r w:rsidRPr="002B71AF">
              <w:rPr>
                <w:rFonts w:ascii="Times New Roman" w:hAnsi="Times New Roman"/>
                <w:sz w:val="20"/>
                <w:szCs w:val="20"/>
                <w:lang w:eastAsia="ru-RU"/>
              </w:rPr>
              <w:t xml:space="preserve">) - продовження </w:t>
            </w:r>
            <w:r w:rsidR="00951820">
              <w:rPr>
                <w:rFonts w:ascii="Times New Roman" w:hAnsi="Times New Roman"/>
                <w:sz w:val="20"/>
                <w:szCs w:val="20"/>
                <w:lang w:val="uk-UA" w:eastAsia="ru-RU"/>
              </w:rPr>
              <w:t>за результатами</w:t>
            </w:r>
            <w:bookmarkStart w:id="3" w:name="_GoBack"/>
            <w:bookmarkEnd w:id="3"/>
            <w:r w:rsidRPr="002B71AF">
              <w:rPr>
                <w:rFonts w:ascii="Times New Roman" w:hAnsi="Times New Roman"/>
                <w:sz w:val="20"/>
                <w:szCs w:val="20"/>
                <w:lang w:eastAsia="ru-RU"/>
              </w:rPr>
              <w:t xml:space="preserve"> аукціону</w:t>
            </w:r>
            <w:r w:rsidRPr="002B71AF">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5"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01500"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r w:rsidR="00701500">
              <w:rPr>
                <w:rFonts w:ascii="Times New Roman" w:hAnsi="Times New Roman"/>
                <w:sz w:val="20"/>
                <w:szCs w:val="20"/>
                <w:lang w:val="uk-UA" w:eastAsia="ru-RU"/>
              </w:rPr>
              <w:t>3 128 700,00(Три мільйони сто двадцять вісім тисяч сімсот гривень, 00 коп, без урахування ПДВ</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701500" w:rsidP="008E7B08">
            <w:pPr>
              <w:pStyle w:val="aa"/>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ФОП Кожемякін Святослав Сергійович</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t>"</w:t>
            </w:r>
            <w:r w:rsidR="00701500">
              <w:rPr>
                <w:rFonts w:ascii="Times New Roman" w:hAnsi="Times New Roman"/>
                <w:sz w:val="20"/>
                <w:szCs w:val="20"/>
                <w:lang w:val="uk-UA" w:eastAsia="ru-RU"/>
              </w:rPr>
              <w:t>31</w:t>
            </w:r>
            <w:r w:rsidRPr="00672B65">
              <w:rPr>
                <w:rFonts w:ascii="Times New Roman" w:hAnsi="Times New Roman"/>
                <w:sz w:val="20"/>
                <w:szCs w:val="20"/>
                <w:lang w:eastAsia="ru-RU"/>
              </w:rPr>
              <w:t>"</w:t>
            </w:r>
            <w:r w:rsidR="00701500">
              <w:rPr>
                <w:rFonts w:ascii="Times New Roman" w:hAnsi="Times New Roman"/>
                <w:sz w:val="20"/>
                <w:szCs w:val="20"/>
                <w:lang w:val="uk-UA" w:eastAsia="ru-RU"/>
              </w:rPr>
              <w:t xml:space="preserve"> грудня</w:t>
            </w:r>
            <w:r w:rsidRPr="00672B65">
              <w:rPr>
                <w:rFonts w:ascii="Times New Roman" w:hAnsi="Times New Roman"/>
                <w:sz w:val="20"/>
                <w:szCs w:val="20"/>
                <w:lang w:eastAsia="ru-RU"/>
              </w:rPr>
              <w:t xml:space="preserve"> 20</w:t>
            </w:r>
            <w:r w:rsidR="00701500">
              <w:rPr>
                <w:rFonts w:ascii="Times New Roman" w:hAnsi="Times New Roman"/>
                <w:sz w:val="20"/>
                <w:szCs w:val="20"/>
                <w:lang w:val="uk-UA" w:eastAsia="ru-RU"/>
              </w:rPr>
              <w:t>21</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701500" w:rsidP="00701500">
            <w:pPr>
              <w:pStyle w:val="aa"/>
              <w:jc w:val="center"/>
              <w:rPr>
                <w:rFonts w:ascii="Times New Roman" w:hAnsi="Times New Roman"/>
                <w:sz w:val="20"/>
                <w:szCs w:val="20"/>
                <w:lang w:eastAsia="ru-RU"/>
              </w:rPr>
            </w:pPr>
            <w:r>
              <w:rPr>
                <w:rFonts w:ascii="Times New Roman" w:hAnsi="Times New Roman"/>
                <w:sz w:val="20"/>
                <w:szCs w:val="20"/>
                <w:lang w:val="uk-UA" w:eastAsia="ru-RU"/>
              </w:rPr>
              <w:t>26 січня</w:t>
            </w:r>
            <w:r w:rsidR="001F795A" w:rsidRPr="00672B65">
              <w:rPr>
                <w:rFonts w:ascii="Times New Roman" w:hAnsi="Times New Roman"/>
                <w:sz w:val="20"/>
                <w:szCs w:val="20"/>
                <w:lang w:eastAsia="ru-RU"/>
              </w:rPr>
              <w:t xml:space="preserve"> </w:t>
            </w:r>
            <w:r w:rsidR="001F795A" w:rsidRPr="00B36513">
              <w:rPr>
                <w:rFonts w:ascii="Times New Roman" w:hAnsi="Times New Roman"/>
                <w:sz w:val="20"/>
                <w:szCs w:val="20"/>
                <w:lang w:eastAsia="ru-RU"/>
              </w:rPr>
              <w:t>20</w:t>
            </w:r>
            <w:r>
              <w:rPr>
                <w:rFonts w:ascii="Times New Roman" w:hAnsi="Times New Roman"/>
                <w:sz w:val="20"/>
                <w:szCs w:val="20"/>
                <w:lang w:val="uk-UA" w:eastAsia="ru-RU"/>
              </w:rPr>
              <w:t>21</w:t>
            </w:r>
            <w:r w:rsidR="001F795A" w:rsidRPr="00B36513">
              <w:rPr>
                <w:rFonts w:ascii="Times New Roman" w:hAnsi="Times New Roman"/>
                <w:sz w:val="20"/>
                <w:szCs w:val="20"/>
                <w:lang w:eastAsia="ru-RU"/>
              </w:rPr>
              <w:t xml:space="preserve"> р.</w:t>
            </w:r>
          </w:p>
        </w:tc>
      </w:tr>
      <w:tr w:rsidR="001F795A" w:rsidRPr="0070150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701500" w:rsidP="00701500">
            <w:pPr>
              <w:pStyle w:val="aa"/>
              <w:jc w:val="center"/>
              <w:rPr>
                <w:rFonts w:ascii="Times New Roman" w:hAnsi="Times New Roman"/>
                <w:sz w:val="20"/>
                <w:szCs w:val="20"/>
                <w:lang w:eastAsia="ru-RU"/>
              </w:rPr>
            </w:pPr>
            <w:r>
              <w:rPr>
                <w:rFonts w:ascii="Times New Roman" w:hAnsi="Times New Roman"/>
                <w:sz w:val="20"/>
                <w:szCs w:val="20"/>
                <w:lang w:eastAsia="ru-RU"/>
              </w:rPr>
              <w:t>дата рецензії</w:t>
            </w:r>
            <w:r>
              <w:rPr>
                <w:rFonts w:ascii="Times New Roman" w:hAnsi="Times New Roman"/>
                <w:sz w:val="20"/>
                <w:szCs w:val="20"/>
                <w:lang w:eastAsia="ru-RU"/>
              </w:rPr>
              <w:br/>
            </w:r>
            <w:r>
              <w:rPr>
                <w:rFonts w:ascii="Times New Roman" w:hAnsi="Times New Roman"/>
                <w:sz w:val="20"/>
                <w:szCs w:val="20"/>
                <w:lang w:val="uk-UA" w:eastAsia="ru-RU"/>
              </w:rPr>
              <w:t>25 січня</w:t>
            </w:r>
            <w:r w:rsidR="001F795A" w:rsidRPr="00C94514">
              <w:rPr>
                <w:rFonts w:ascii="Times New Roman" w:hAnsi="Times New Roman"/>
                <w:sz w:val="20"/>
                <w:szCs w:val="20"/>
                <w:lang w:eastAsia="ru-RU"/>
              </w:rPr>
              <w:t xml:space="preserve"> 20</w:t>
            </w:r>
            <w:r>
              <w:rPr>
                <w:rFonts w:ascii="Times New Roman" w:hAnsi="Times New Roman"/>
                <w:sz w:val="20"/>
                <w:szCs w:val="20"/>
                <w:lang w:val="uk-UA" w:eastAsia="ru-RU"/>
              </w:rPr>
              <w:t>21</w:t>
            </w:r>
            <w:r w:rsidR="001F795A" w:rsidRPr="00C94514">
              <w:rPr>
                <w:rFonts w:ascii="Times New Roman" w:hAnsi="Times New Roman"/>
                <w:sz w:val="20"/>
                <w:szCs w:val="20"/>
                <w:lang w:eastAsia="ru-RU"/>
              </w:rPr>
              <w:t>р.</w:t>
            </w:r>
          </w:p>
        </w:tc>
      </w:tr>
      <w:tr w:rsidR="001F795A" w:rsidRPr="00C03DC3"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701500">
              <w:rPr>
                <w:rFonts w:ascii="Times New Roman" w:eastAsia="Times New Roman" w:hAnsi="Times New Roman"/>
                <w:sz w:val="20"/>
                <w:szCs w:val="20"/>
                <w:lang w:val="ru-RU"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01500" w:rsidRDefault="001F795A" w:rsidP="00C03DC3">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Страхова вартість</w:t>
            </w:r>
            <w:r w:rsidR="00701500">
              <w:rPr>
                <w:rFonts w:ascii="Times New Roman" w:hAnsi="Times New Roman"/>
                <w:sz w:val="20"/>
                <w:szCs w:val="20"/>
                <w:lang w:val="uk-UA" w:eastAsia="ru-RU"/>
              </w:rPr>
              <w:t xml:space="preserve"> </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r w:rsidR="00C03DC3">
              <w:rPr>
                <w:rFonts w:ascii="Times New Roman" w:hAnsi="Times New Roman"/>
                <w:sz w:val="20"/>
                <w:szCs w:val="20"/>
                <w:lang w:val="uk-UA" w:eastAsia="ru-RU"/>
              </w:rPr>
              <w:t>3 128 700,00(Три мільйони сто двадцять вісім тисяч сімсот гривень, 00 коп, без урахування ПДВ</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8423B5"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8423B5"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Вт, Чт: 17.00-18.30 Сб: 13.30-15.00</w:t>
            </w: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951820"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6"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951820"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7"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4" w:name="595"/>
      <w:bookmarkEnd w:id="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5" w:name="596"/>
      <w:bookmarkEnd w:id="5"/>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6" w:name="597"/>
      <w:bookmarkEnd w:id="6"/>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7" w:name="598"/>
      <w:bookmarkEnd w:id="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8" w:name="599"/>
      <w:bookmarkEnd w:id="8"/>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9" w:name="600"/>
      <w:bookmarkEnd w:id="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0" w:name="601"/>
      <w:bookmarkEnd w:id="10"/>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1" w:name="605"/>
      <w:bookmarkStart w:id="12" w:name="603"/>
      <w:bookmarkEnd w:id="11"/>
      <w:bookmarkEnd w:id="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 w:name="606"/>
      <w:bookmarkEnd w:id="13"/>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 w:name="607"/>
      <w:bookmarkEnd w:id="14"/>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5" w:name="608"/>
      <w:bookmarkEnd w:id="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6" w:name="609"/>
      <w:bookmarkEnd w:id="16"/>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7" w:name="610"/>
      <w:bookmarkEnd w:id="17"/>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8" w:name="617"/>
      <w:bookmarkEnd w:id="18"/>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9" w:name="619"/>
      <w:bookmarkEnd w:id="19"/>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20" w:name="623"/>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1" w:name="624"/>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2" w:name="625"/>
      <w:bookmarkEnd w:id="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3" w:name="626"/>
      <w:bookmarkEnd w:id="23"/>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4" w:name="627"/>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5" w:name="628"/>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6" w:name="629"/>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7" w:name="630"/>
      <w:bookmarkEnd w:id="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8" w:name="631"/>
      <w:bookmarkEnd w:id="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9" w:name="632"/>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30" w:name="633"/>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1" w:name="634"/>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2" w:name="635"/>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3" w:name="636"/>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4" w:name="637"/>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5" w:name="638"/>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6" w:name="639"/>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7" w:name="640"/>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8" w:name="641"/>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9" w:name="642"/>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40" w:name="643"/>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1" w:name="644"/>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2" w:name="645"/>
      <w:bookmarkEnd w:id="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3" w:name="646"/>
      <w:bookmarkEnd w:id="43"/>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4" w:name="650"/>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5" w:name="651"/>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6" w:name="652"/>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7" w:name="653"/>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8" w:name="654"/>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9" w:name="655"/>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50" w:name="656"/>
      <w:bookmarkEnd w:id="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1" w:name="657"/>
      <w:bookmarkEnd w:id="51"/>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2" w:name="658"/>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3" w:name="659"/>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4" w:name="660"/>
      <w:bookmarkEnd w:id="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5" w:name="661"/>
      <w:bookmarkEnd w:id="5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6" w:name="662"/>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7" w:name="663"/>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8" w:name="664"/>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9" w:name="665"/>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60" w:name="666"/>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1" w:name="667"/>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2" w:name="668"/>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3" w:name="669"/>
      <w:bookmarkEnd w:id="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4" w:name="670"/>
      <w:bookmarkEnd w:id="6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5" w:name="671"/>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6" w:name="672"/>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7" w:name="673"/>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8" w:name="674"/>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9" w:name="675"/>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70" w:name="676"/>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1" w:name="677"/>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2" w:name="678"/>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3" w:name="679"/>
      <w:bookmarkEnd w:id="7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4" w:name="680"/>
      <w:bookmarkEnd w:id="74"/>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5" w:name="688"/>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6" w:name="689"/>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7" w:name="690"/>
      <w:bookmarkEnd w:id="7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8" w:name="691"/>
      <w:bookmarkEnd w:id="78"/>
    </w:p>
    <w:tbl>
      <w:tblPr>
        <w:tblW w:w="0" w:type="auto"/>
        <w:tblLayout w:type="fixed"/>
        <w:tblLook w:val="0000" w:firstRow="0" w:lastRow="0" w:firstColumn="0" w:lastColumn="0" w:noHBand="0" w:noVBand="0"/>
      </w:tblPr>
      <w:tblGrid>
        <w:gridCol w:w="9690"/>
      </w:tblGrid>
      <w:tr w:rsidR="00854C74" w:rsidRPr="00951820"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9" w:name="692"/>
            <w:bookmarkEnd w:id="79"/>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80" w:name="693"/>
      <w:bookmarkEnd w:id="8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1" w:name="694"/>
      <w:bookmarkEnd w:id="81"/>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2" w:name="695"/>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3" w:name="696"/>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4" w:name="697"/>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5" w:name="698"/>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6" w:name="699"/>
      <w:bookmarkEnd w:id="8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7" w:name="700"/>
      <w:bookmarkEnd w:id="87"/>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8" w:name="701"/>
      <w:bookmarkStart w:id="89" w:name="710"/>
      <w:bookmarkEnd w:id="88"/>
      <w:bookmarkEnd w:id="89"/>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90" w:name="712"/>
      <w:bookmarkEnd w:id="90"/>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1" w:name="713"/>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2" w:name="714"/>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3" w:name="715"/>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4" w:name="716"/>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5" w:name="717"/>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6" w:name="718"/>
      <w:bookmarkEnd w:id="9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7" w:name="719"/>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8" w:name="720"/>
      <w:bookmarkEnd w:id="9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9" w:name="721"/>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100" w:name="723"/>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1" w:name="724"/>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2" w:name="725"/>
      <w:bookmarkEnd w:id="10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3" w:name="726"/>
      <w:bookmarkEnd w:id="103"/>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4" w:name="727"/>
      <w:bookmarkEnd w:id="10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5" w:name="728"/>
      <w:bookmarkEnd w:id="105"/>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6" w:name="729"/>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7" w:name="733"/>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8" w:name="734"/>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9" w:name="735"/>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10" w:name="736"/>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1" w:name="737"/>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2" w:name="738"/>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3" w:name="739"/>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4" w:name="740"/>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5" w:name="741"/>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6" w:name="742"/>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7" w:name="743"/>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8" w:name="744"/>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9" w:name="745"/>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20" w:name="746"/>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1" w:name="747"/>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2" w:name="748"/>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3" w:name="749"/>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w:t>
      </w:r>
      <w:r w:rsidRPr="0054221D">
        <w:rPr>
          <w:rFonts w:ascii="Times New Roman" w:hAnsi="Times New Roman" w:cs="Times New Roman"/>
          <w:color w:val="000000"/>
          <w:sz w:val="21"/>
          <w:szCs w:val="21"/>
          <w:lang w:val="ru-RU"/>
        </w:rPr>
        <w:lastRenderedPageBreak/>
        <w:t>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24" w:name="750"/>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5" w:name="751"/>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6" w:name="752"/>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7" w:name="753"/>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8" w:name="754"/>
      <w:bookmarkEnd w:id="1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9" w:name="755"/>
      <w:bookmarkEnd w:id="129"/>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30" w:name="756"/>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1" w:name="757"/>
      <w:bookmarkEnd w:id="1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2" w:name="758"/>
      <w:bookmarkStart w:id="133" w:name="761"/>
      <w:bookmarkEnd w:id="13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4" w:name="762"/>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5" w:name="763"/>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6" w:name="764"/>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7" w:name="765"/>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8" w:name="766"/>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9" w:name="767"/>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40" w:name="768"/>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1" w:name="769"/>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2" w:name="770"/>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3" w:name="771"/>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4" w:name="772"/>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5" w:name="773"/>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6" w:name="774"/>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7" w:name="775"/>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8" w:name="776"/>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w:t>
      </w:r>
      <w:r w:rsidRPr="0054221D">
        <w:rPr>
          <w:rFonts w:ascii="Times New Roman" w:hAnsi="Times New Roman" w:cs="Times New Roman"/>
          <w:color w:val="000000"/>
          <w:sz w:val="21"/>
          <w:szCs w:val="21"/>
          <w:lang w:val="ru-RU"/>
        </w:rPr>
        <w:lastRenderedPageBreak/>
        <w:t>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9" w:name="777"/>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50" w:name="778"/>
      <w:bookmarkEnd w:id="1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1" w:name="779"/>
      <w:bookmarkEnd w:id="151"/>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2" w:name="780"/>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3" w:name="781"/>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4" w:name="782"/>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5" w:name="783"/>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6" w:name="784"/>
      <w:bookmarkEnd w:id="1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w:t>
      </w:r>
      <w:r w:rsidRPr="0054221D">
        <w:rPr>
          <w:rFonts w:ascii="Times New Roman" w:hAnsi="Times New Roman" w:cs="Times New Roman"/>
          <w:color w:val="000000"/>
          <w:sz w:val="21"/>
          <w:szCs w:val="21"/>
          <w:lang w:val="ru-RU"/>
        </w:rPr>
        <w:lastRenderedPageBreak/>
        <w:t>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637"/>
        <w:gridCol w:w="3402"/>
        <w:gridCol w:w="3866"/>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555158">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58" w:rsidRDefault="00555158" w:rsidP="00DC25DE">
      <w:pPr>
        <w:spacing w:after="0" w:line="240" w:lineRule="auto"/>
      </w:pPr>
      <w:r>
        <w:separator/>
      </w:r>
    </w:p>
  </w:endnote>
  <w:endnote w:type="continuationSeparator" w:id="0">
    <w:p w:rsidR="00555158" w:rsidRDefault="00555158"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58" w:rsidRDefault="00555158" w:rsidP="00DC25DE">
      <w:pPr>
        <w:spacing w:after="0" w:line="240" w:lineRule="auto"/>
      </w:pPr>
      <w:r>
        <w:separator/>
      </w:r>
    </w:p>
  </w:footnote>
  <w:footnote w:type="continuationSeparator" w:id="0">
    <w:p w:rsidR="00555158" w:rsidRDefault="00555158" w:rsidP="00DC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4"/>
    <w:rsid w:val="00011871"/>
    <w:rsid w:val="0001623C"/>
    <w:rsid w:val="001758EF"/>
    <w:rsid w:val="001F795A"/>
    <w:rsid w:val="00220405"/>
    <w:rsid w:val="002C20CC"/>
    <w:rsid w:val="003853B9"/>
    <w:rsid w:val="00410326"/>
    <w:rsid w:val="004865F8"/>
    <w:rsid w:val="00555158"/>
    <w:rsid w:val="005B3320"/>
    <w:rsid w:val="00701500"/>
    <w:rsid w:val="00781D28"/>
    <w:rsid w:val="007E5C71"/>
    <w:rsid w:val="00823F87"/>
    <w:rsid w:val="008423B5"/>
    <w:rsid w:val="00854C74"/>
    <w:rsid w:val="0093067C"/>
    <w:rsid w:val="00930F5A"/>
    <w:rsid w:val="00951820"/>
    <w:rsid w:val="00963678"/>
    <w:rsid w:val="00A007DA"/>
    <w:rsid w:val="00A104B2"/>
    <w:rsid w:val="00A32869"/>
    <w:rsid w:val="00A55C97"/>
    <w:rsid w:val="00AC33C5"/>
    <w:rsid w:val="00B65CDB"/>
    <w:rsid w:val="00C03DC3"/>
    <w:rsid w:val="00C15EC0"/>
    <w:rsid w:val="00D92E5A"/>
    <w:rsid w:val="00D96396"/>
    <w:rsid w:val="00DA1C1F"/>
    <w:rsid w:val="00DC25DE"/>
    <w:rsid w:val="00E01EC9"/>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890"/>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earch.ligazakon.ua/l_doc2.nsf/link1/T190157.html" TargetMode="External"/><Relationship Id="rId10" Type="http://schemas.openxmlformats.org/officeDocument/2006/relationships/hyperlink" Target="mailto:cbarenda@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29214</Words>
  <Characters>16652</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Нестерова Аліна Анатоліївна</cp:lastModifiedBy>
  <cp:revision>2</cp:revision>
  <dcterms:created xsi:type="dcterms:W3CDTF">2021-04-06T12:33:00Z</dcterms:created>
  <dcterms:modified xsi:type="dcterms:W3CDTF">2021-04-06T12:33:00Z</dcterms:modified>
</cp:coreProperties>
</file>