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61F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7D0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орядок та 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E154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630605"/>
    <w:rsid w:val="007C4243"/>
    <w:rsid w:val="007D061F"/>
    <w:rsid w:val="0083705E"/>
    <w:rsid w:val="0085212F"/>
    <w:rsid w:val="00B0376C"/>
    <w:rsid w:val="00C96477"/>
    <w:rsid w:val="00DD59EF"/>
    <w:rsid w:val="00DE1F7F"/>
    <w:rsid w:val="00E1543C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2021-05-05T10:02:00Z</dcterms:modified>
</cp:coreProperties>
</file>