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26" w:leader="none"/>
        </w:tabs>
        <w:jc w:val="center"/>
        <w:rPr>
          <w:b/>
          <w:b/>
          <w:bCs/>
          <w:sz w:val="22"/>
          <w:szCs w:val="22"/>
        </w:rPr>
      </w:pPr>
      <w:r>
        <w:rPr/>
      </w:r>
    </w:p>
    <w:p>
      <w:pPr>
        <w:pStyle w:val="Normal"/>
        <w:rPr/>
      </w:pPr>
      <w:r>
        <w:rPr/>
      </w:r>
    </w:p>
    <w:p>
      <w:pPr>
        <w:pStyle w:val="Normal"/>
        <w:jc w:val="center"/>
        <w:rPr>
          <w:b/>
          <w:b/>
          <w:bCs/>
          <w:sz w:val="22"/>
          <w:szCs w:val="22"/>
        </w:rPr>
      </w:pPr>
      <w:r>
        <w:rPr>
          <w:b/>
          <w:bCs/>
          <w:sz w:val="22"/>
          <w:szCs w:val="22"/>
        </w:rPr>
      </w:r>
    </w:p>
    <w:p>
      <w:pPr>
        <w:pStyle w:val="Normal"/>
        <w:jc w:val="right"/>
        <w:rPr>
          <w:sz w:val="24"/>
          <w:szCs w:val="24"/>
        </w:rPr>
      </w:pPr>
      <w:r>
        <w:rPr>
          <w:sz w:val="24"/>
          <w:szCs w:val="24"/>
        </w:rPr>
        <w:t>Додаток 1</w:t>
      </w:r>
    </w:p>
    <w:p>
      <w:pPr>
        <w:pStyle w:val="Normal"/>
        <w:jc w:val="center"/>
        <w:rPr>
          <w:b/>
          <w:b/>
          <w:sz w:val="24"/>
          <w:szCs w:val="24"/>
        </w:rPr>
      </w:pPr>
      <w:r>
        <w:rPr>
          <w:b/>
          <w:sz w:val="24"/>
          <w:szCs w:val="24"/>
        </w:rPr>
      </w:r>
    </w:p>
    <w:p>
      <w:pPr>
        <w:pStyle w:val="Normal"/>
        <w:jc w:val="center"/>
        <w:rPr>
          <w:b/>
          <w:b/>
          <w:bCs/>
          <w:sz w:val="24"/>
          <w:szCs w:val="24"/>
        </w:rPr>
      </w:pPr>
      <w:r>
        <w:rPr>
          <w:b/>
          <w:sz w:val="24"/>
          <w:szCs w:val="24"/>
        </w:rPr>
        <w:t xml:space="preserve">Перелік документів                                         </w:t>
      </w:r>
    </w:p>
    <w:p>
      <w:pPr>
        <w:pStyle w:val="Normal"/>
        <w:jc w:val="center"/>
        <w:rPr>
          <w:b/>
          <w:b/>
          <w:bCs/>
          <w:sz w:val="24"/>
          <w:szCs w:val="24"/>
        </w:rPr>
      </w:pPr>
      <w:r>
        <w:rPr>
          <w:b/>
          <w:bCs/>
          <w:sz w:val="24"/>
          <w:szCs w:val="24"/>
        </w:rPr>
        <w:t xml:space="preserve">щодо участі в аукціоні з продажу майна </w:t>
      </w:r>
    </w:p>
    <w:p>
      <w:pPr>
        <w:pStyle w:val="Normal"/>
        <w:rPr/>
      </w:pPr>
      <w:r>
        <w:rPr/>
      </w:r>
    </w:p>
    <w:p>
      <w:pPr>
        <w:pStyle w:val="Normal"/>
        <w:jc w:val="both"/>
        <w:rPr>
          <w:b/>
          <w:b/>
          <w:sz w:val="24"/>
          <w:szCs w:val="24"/>
          <w:u w:val="single"/>
        </w:rPr>
      </w:pPr>
      <w:r>
        <w:rPr>
          <w:b/>
          <w:bCs/>
          <w:sz w:val="24"/>
          <w:szCs w:val="24"/>
          <w:u w:val="single"/>
        </w:rPr>
        <w:t xml:space="preserve">Учасник для участі в електронних торгах (аукціоні) до початку аукціону розміщує в електронній торговій системі </w:t>
      </w:r>
      <w:r>
        <w:rPr>
          <w:b/>
          <w:bCs/>
          <w:sz w:val="24"/>
          <w:szCs w:val="24"/>
          <w:u w:val="single"/>
          <w:lang w:val="en-US"/>
        </w:rPr>
        <w:t>ProZorro</w:t>
      </w:r>
      <w:r>
        <w:rPr>
          <w:b/>
          <w:bCs/>
          <w:sz w:val="24"/>
          <w:szCs w:val="24"/>
          <w:u w:val="single"/>
        </w:rPr>
        <w:t>-Продажі копії належним чином завірених* документів</w:t>
      </w:r>
      <w:r>
        <w:rPr>
          <w:b/>
          <w:sz w:val="24"/>
          <w:szCs w:val="24"/>
          <w:u w:val="single"/>
        </w:rPr>
        <w:t xml:space="preserve">: </w:t>
      </w:r>
    </w:p>
    <w:p>
      <w:pPr>
        <w:pStyle w:val="ListParagraph"/>
        <w:numPr>
          <w:ilvl w:val="0"/>
          <w:numId w:val="1"/>
        </w:numPr>
        <w:tabs>
          <w:tab w:val="left" w:pos="426" w:leader="none"/>
        </w:tabs>
        <w:ind w:left="0" w:hanging="0"/>
        <w:jc w:val="both"/>
        <w:rPr>
          <w:sz w:val="24"/>
          <w:szCs w:val="24"/>
        </w:rPr>
      </w:pPr>
      <w:r>
        <w:rPr>
          <w:sz w:val="24"/>
          <w:szCs w:val="24"/>
        </w:rPr>
        <w:t>Копія Статуту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pStyle w:val="Normal"/>
        <w:numPr>
          <w:ilvl w:val="0"/>
          <w:numId w:val="1"/>
        </w:numPr>
        <w:tabs>
          <w:tab w:val="left" w:pos="426" w:leader="none"/>
        </w:tabs>
        <w:ind w:left="0" w:right="22" w:hanging="0"/>
        <w:jc w:val="both"/>
        <w:outlineLvl w:val="0"/>
        <w:rPr>
          <w:sz w:val="24"/>
          <w:szCs w:val="24"/>
        </w:rPr>
      </w:pPr>
      <w:r>
        <w:rPr>
          <w:sz w:val="24"/>
          <w:szCs w:val="24"/>
        </w:rPr>
        <w:t xml:space="preserve">Копія довідки про присвоєння ідентифікаційного номера </w:t>
      </w:r>
      <w:r>
        <w:rPr>
          <w:i/>
          <w:sz w:val="24"/>
          <w:szCs w:val="24"/>
        </w:rPr>
        <w:t>(для фізичних осіб).</w:t>
      </w:r>
    </w:p>
    <w:p>
      <w:pPr>
        <w:pStyle w:val="Normal"/>
        <w:numPr>
          <w:ilvl w:val="0"/>
          <w:numId w:val="1"/>
        </w:numPr>
        <w:tabs>
          <w:tab w:val="left" w:pos="426" w:leader="none"/>
        </w:tabs>
        <w:ind w:left="0" w:right="22" w:hanging="0"/>
        <w:jc w:val="both"/>
        <w:outlineLvl w:val="0"/>
        <w:rPr>
          <w:i/>
          <w:i/>
          <w:sz w:val="24"/>
          <w:szCs w:val="24"/>
        </w:rPr>
      </w:pPr>
      <w:r>
        <w:rPr>
          <w:sz w:val="24"/>
          <w:szCs w:val="24"/>
        </w:rPr>
        <w:t xml:space="preserve">Копія паспорту (сторінки 1-6 та місце реєстрації) у випадку, якщо такий паспорт оформлено у вигляді книжечки. Або двостороння копія паспорта громадянина України у випадку, якщо такий паспорт оформлено у вигляді картки, що містить безконтактний електронний носій або інший документ, передбачений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Pr>
          <w:i/>
          <w:sz w:val="24"/>
          <w:szCs w:val="24"/>
        </w:rPr>
        <w:t>(для фізичних осіб).</w:t>
      </w:r>
    </w:p>
    <w:p>
      <w:pPr>
        <w:pStyle w:val="Normal"/>
        <w:numPr>
          <w:ilvl w:val="0"/>
          <w:numId w:val="1"/>
        </w:numPr>
        <w:tabs>
          <w:tab w:val="left" w:pos="426" w:leader="none"/>
        </w:tabs>
        <w:ind w:left="0" w:right="22" w:hanging="0"/>
        <w:jc w:val="both"/>
        <w:outlineLvl w:val="0"/>
        <w:rPr>
          <w:sz w:val="24"/>
          <w:szCs w:val="24"/>
        </w:rPr>
      </w:pPr>
      <w:r>
        <w:rPr>
          <w:sz w:val="24"/>
          <w:szCs w:val="24"/>
        </w:rPr>
        <w:t xml:space="preserve">Копії документів, що підтверджують повноваження посадової особи (керівника) - переможця процедури продажу щодо </w:t>
      </w:r>
      <w:r>
        <w:rPr>
          <w:sz w:val="22"/>
          <w:szCs w:val="22"/>
        </w:rPr>
        <w:t xml:space="preserve">укладення  договору  </w:t>
      </w:r>
      <w:r>
        <w:rPr>
          <w:sz w:val="24"/>
          <w:szCs w:val="24"/>
        </w:rPr>
        <w:t xml:space="preserve">- </w:t>
      </w:r>
      <w:r>
        <w:rPr>
          <w:sz w:val="22"/>
          <w:szCs w:val="22"/>
        </w:rPr>
        <w:t xml:space="preserve">наказ, протокол/рішення органів управління товариства, тощо, </w:t>
      </w:r>
      <w:r>
        <w:rPr>
          <w:sz w:val="24"/>
          <w:szCs w:val="24"/>
        </w:rPr>
        <w:t>у разі якщо договір підписуються іншою посадовою особою (представником) ніж керівник – довіреністю, дорученням або іншим документом, що підтверджує повноваження посадової особи (або представника) переможця на підписання договору.</w:t>
      </w:r>
    </w:p>
    <w:p>
      <w:pPr>
        <w:pStyle w:val="Normal"/>
        <w:numPr>
          <w:ilvl w:val="0"/>
          <w:numId w:val="1"/>
        </w:numPr>
        <w:tabs>
          <w:tab w:val="left" w:pos="426" w:leader="none"/>
        </w:tabs>
        <w:ind w:left="0" w:right="22" w:hanging="0"/>
        <w:jc w:val="both"/>
        <w:outlineLvl w:val="0"/>
        <w:rPr>
          <w:sz w:val="24"/>
          <w:szCs w:val="24"/>
        </w:rPr>
      </w:pPr>
      <w:r>
        <w:rPr>
          <w:sz w:val="24"/>
          <w:szCs w:val="24"/>
        </w:rPr>
        <w:t xml:space="preserve">Копії дозвільних документів на право здійснення господарської діяльності на поводження з </w:t>
      </w:r>
      <w:r>
        <w:rPr>
          <w:bCs/>
          <w:sz w:val="24"/>
          <w:szCs w:val="24"/>
        </w:rPr>
        <w:t>небезпечними  відходами, якщо такі відходи (</w:t>
      </w:r>
      <w:r>
        <w:rPr>
          <w:b/>
          <w:bCs/>
          <w:i/>
          <w:sz w:val="22"/>
          <w:szCs w:val="22"/>
        </w:rPr>
        <w:t>Відпрацьовані оливи моторні, компресорні і редукторні оливи (суміш)</w:t>
      </w:r>
      <w:r>
        <w:rPr>
          <w:bCs/>
          <w:sz w:val="24"/>
          <w:szCs w:val="24"/>
        </w:rPr>
        <w:t xml:space="preserve">) є </w:t>
      </w:r>
      <w:r>
        <w:rPr>
          <w:sz w:val="24"/>
          <w:szCs w:val="24"/>
        </w:rPr>
        <w:t>небезпечними та/або включені до переліків небезпечних відходів або довідка в довільній формі про те, що ці відходи (</w:t>
      </w:r>
      <w:r>
        <w:rPr>
          <w:bCs/>
          <w:sz w:val="22"/>
          <w:szCs w:val="22"/>
        </w:rPr>
        <w:t>відпрацьована трансформаторна олива</w:t>
      </w:r>
      <w:r>
        <w:rPr>
          <w:bCs/>
          <w:sz w:val="24"/>
          <w:szCs w:val="24"/>
        </w:rPr>
        <w:t xml:space="preserve">) </w:t>
      </w:r>
      <w:r>
        <w:rPr>
          <w:sz w:val="24"/>
          <w:szCs w:val="24"/>
        </w:rPr>
        <w:t>не є небезпечними та здійснення господарської діяльність не потребує отримання дозвільних документів.</w:t>
      </w:r>
    </w:p>
    <w:p>
      <w:pPr>
        <w:pStyle w:val="Normal"/>
        <w:numPr>
          <w:ilvl w:val="0"/>
          <w:numId w:val="0"/>
        </w:numPr>
        <w:ind w:right="22" w:hanging="0"/>
        <w:jc w:val="both"/>
        <w:outlineLvl w:val="0"/>
        <w:rPr>
          <w:sz w:val="24"/>
          <w:szCs w:val="24"/>
        </w:rPr>
      </w:pPr>
      <w:r>
        <w:rPr>
          <w:sz w:val="24"/>
          <w:szCs w:val="24"/>
        </w:rPr>
      </w:r>
    </w:p>
    <w:p>
      <w:pPr>
        <w:pStyle w:val="Normal"/>
        <w:jc w:val="both"/>
        <w:rPr>
          <w:i/>
          <w:i/>
          <w:sz w:val="24"/>
          <w:szCs w:val="24"/>
        </w:rPr>
      </w:pPr>
      <w:r>
        <w:rPr>
          <w:b/>
          <w:i/>
          <w:sz w:val="24"/>
          <w:szCs w:val="24"/>
        </w:rPr>
        <w:t>*</w:t>
      </w:r>
      <w:r>
        <w:rPr>
          <w:i/>
          <w:sz w:val="24"/>
          <w:szCs w:val="24"/>
        </w:rPr>
        <w:t xml:space="preserve"> Належним чином завірені копії документів це документи, які завірені відповідно до вимог п.5.27 ДСТУ 4163-2003 «Уніфікована система організаційно-розпорядчої документації. Вимоги до оформлювання документів», а саме: відмітка про засвідчення копії  складається  зі слів "Згідно  з  оригіналом",  назви  посади,  особистого підпису особи,  яка  засвідчує  копію,  її ініціалів  та  прізвища,  дати засвідчення копії і проставляють нижче реквізиту підпис) підписом уповноваженої особи та печаткою (за наявності) учасника-переможця процедури продажу. </w:t>
      </w:r>
    </w:p>
    <w:p>
      <w:pPr>
        <w:pStyle w:val="Normal"/>
        <w:jc w:val="both"/>
        <w:rPr>
          <w:i/>
          <w:i/>
          <w:sz w:val="24"/>
          <w:szCs w:val="24"/>
        </w:rPr>
      </w:pPr>
      <w:r>
        <w:rPr>
          <w:i/>
          <w:sz w:val="24"/>
          <w:szCs w:val="24"/>
        </w:rPr>
      </w:r>
    </w:p>
    <w:p>
      <w:pPr>
        <w:pStyle w:val="Normal"/>
        <w:jc w:val="both"/>
        <w:rPr>
          <w:i/>
          <w:i/>
          <w:sz w:val="24"/>
          <w:szCs w:val="24"/>
        </w:rPr>
      </w:pPr>
      <w:r>
        <w:rPr>
          <w:i/>
          <w:sz w:val="24"/>
          <w:szCs w:val="24"/>
        </w:rPr>
        <w:t>Документи, що по</w:t>
      </w:r>
      <w:r>
        <w:rPr>
          <w:i/>
          <w:sz w:val="24"/>
          <w:szCs w:val="24"/>
          <w:lang w:val="ru-RU"/>
        </w:rPr>
        <w:t>д</w:t>
      </w:r>
      <w:r>
        <w:rPr>
          <w:i/>
          <w:sz w:val="24"/>
          <w:szCs w:val="24"/>
        </w:rPr>
        <w:t xml:space="preserve">аються учасником повинні бути скановані в різних файлах у форматі </w:t>
      </w:r>
      <w:r>
        <w:rPr>
          <w:i/>
          <w:sz w:val="24"/>
          <w:szCs w:val="24"/>
          <w:lang w:val="en-US"/>
        </w:rPr>
        <w:t>pdf</w:t>
      </w:r>
      <w:r>
        <w:rPr>
          <w:i/>
          <w:sz w:val="24"/>
          <w:szCs w:val="24"/>
        </w:rPr>
        <w:t xml:space="preserve"> з копій документів, які належним чином завірені (в порядку, вказаному вище). Документи, що розміщуються в системі повинні бути належного рівня зображення та доступні для перегляду.</w:t>
      </w:r>
    </w:p>
    <w:p>
      <w:pPr>
        <w:pStyle w:val="Normal"/>
        <w:jc w:val="both"/>
        <w:rPr>
          <w:i/>
          <w:i/>
          <w:sz w:val="24"/>
          <w:szCs w:val="24"/>
        </w:rPr>
      </w:pPr>
      <w:r>
        <w:rPr>
          <w:i/>
          <w:sz w:val="24"/>
          <w:szCs w:val="24"/>
        </w:rPr>
      </w:r>
    </w:p>
    <w:p>
      <w:pPr>
        <w:pStyle w:val="Normal"/>
        <w:jc w:val="both"/>
        <w:rPr>
          <w:i/>
          <w:i/>
          <w:sz w:val="24"/>
          <w:szCs w:val="24"/>
        </w:rPr>
      </w:pPr>
      <w:r>
        <w:rPr>
          <w:i/>
          <w:sz w:val="24"/>
          <w:szCs w:val="24"/>
        </w:rPr>
      </w:r>
    </w:p>
    <w:p>
      <w:pPr>
        <w:pStyle w:val="Normal"/>
        <w:jc w:val="both"/>
        <w:rPr>
          <w:i/>
          <w:i/>
          <w:sz w:val="24"/>
          <w:szCs w:val="24"/>
        </w:rPr>
      </w:pPr>
      <w:r>
        <w:rPr>
          <w:i/>
          <w:sz w:val="24"/>
          <w:szCs w:val="24"/>
        </w:rPr>
      </w:r>
    </w:p>
    <w:p>
      <w:pPr>
        <w:pStyle w:val="Normal"/>
        <w:jc w:val="both"/>
        <w:rPr>
          <w:i/>
          <w:i/>
          <w:sz w:val="24"/>
          <w:szCs w:val="24"/>
        </w:rPr>
      </w:pPr>
      <w:r>
        <w:rPr>
          <w:i/>
          <w:sz w:val="24"/>
          <w:szCs w:val="24"/>
        </w:rPr>
      </w:r>
    </w:p>
    <w:p>
      <w:pPr>
        <w:pStyle w:val="Normal"/>
        <w:jc w:val="both"/>
        <w:rPr>
          <w:i/>
          <w:i/>
          <w:sz w:val="24"/>
          <w:szCs w:val="24"/>
        </w:rPr>
      </w:pPr>
      <w:r>
        <w:rPr>
          <w:i/>
          <w:sz w:val="24"/>
          <w:szCs w:val="24"/>
        </w:rPr>
      </w:r>
    </w:p>
    <w:p>
      <w:pPr>
        <w:pStyle w:val="Normal"/>
        <w:jc w:val="both"/>
        <w:rPr>
          <w:i/>
          <w:i/>
          <w:sz w:val="24"/>
          <w:szCs w:val="24"/>
        </w:rPr>
      </w:pPr>
      <w:r>
        <w:rPr>
          <w:i/>
          <w:sz w:val="24"/>
          <w:szCs w:val="24"/>
        </w:rPr>
      </w:r>
    </w:p>
    <w:p>
      <w:pPr>
        <w:pStyle w:val="Normal"/>
        <w:jc w:val="both"/>
        <w:rPr>
          <w:i/>
          <w:i/>
          <w:sz w:val="24"/>
          <w:szCs w:val="24"/>
        </w:rPr>
      </w:pPr>
      <w:r>
        <w:rPr>
          <w:i/>
          <w:sz w:val="24"/>
          <w:szCs w:val="24"/>
        </w:rPr>
      </w:r>
    </w:p>
    <w:p>
      <w:pPr>
        <w:pStyle w:val="Normal"/>
        <w:jc w:val="both"/>
        <w:rPr>
          <w:i/>
          <w:i/>
          <w:sz w:val="24"/>
          <w:szCs w:val="24"/>
        </w:rPr>
      </w:pPr>
      <w:r>
        <w:rPr>
          <w:i/>
          <w:sz w:val="24"/>
          <w:szCs w:val="24"/>
        </w:rPr>
      </w:r>
    </w:p>
    <w:p>
      <w:pPr>
        <w:pStyle w:val="Normal"/>
        <w:jc w:val="both"/>
        <w:rPr>
          <w:i/>
          <w:i/>
          <w:sz w:val="24"/>
          <w:szCs w:val="24"/>
          <w:lang w:val="ru-RU"/>
        </w:rPr>
      </w:pPr>
      <w:r>
        <w:rPr>
          <w:i/>
          <w:sz w:val="24"/>
          <w:szCs w:val="24"/>
          <w:lang w:val="ru-RU"/>
        </w:rPr>
      </w:r>
    </w:p>
    <w:p>
      <w:pPr>
        <w:pStyle w:val="Normal"/>
        <w:jc w:val="both"/>
        <w:rPr>
          <w:i/>
          <w:i/>
          <w:sz w:val="24"/>
          <w:szCs w:val="24"/>
          <w:lang w:val="ru-RU"/>
        </w:rPr>
      </w:pPr>
      <w:r>
        <w:rPr>
          <w:i/>
          <w:sz w:val="24"/>
          <w:szCs w:val="24"/>
          <w:lang w:val="ru-RU"/>
        </w:rPr>
      </w:r>
    </w:p>
    <w:p>
      <w:pPr>
        <w:pStyle w:val="Normal"/>
        <w:jc w:val="both"/>
        <w:rPr>
          <w:i/>
          <w:i/>
          <w:sz w:val="24"/>
          <w:szCs w:val="24"/>
          <w:lang w:val="ru-RU"/>
        </w:rPr>
      </w:pPr>
      <w:r>
        <w:rPr>
          <w:i/>
          <w:sz w:val="24"/>
          <w:szCs w:val="24"/>
          <w:lang w:val="ru-RU"/>
        </w:rPr>
      </w:r>
    </w:p>
    <w:p>
      <w:pPr>
        <w:pStyle w:val="Normal"/>
        <w:jc w:val="both"/>
        <w:rPr>
          <w:i/>
          <w:i/>
          <w:sz w:val="24"/>
          <w:szCs w:val="24"/>
          <w:lang w:val="ru-RU"/>
        </w:rPr>
      </w:pPr>
      <w:r>
        <w:rPr>
          <w:i/>
          <w:sz w:val="24"/>
          <w:szCs w:val="24"/>
          <w:lang w:val="ru-RU"/>
        </w:rPr>
      </w:r>
    </w:p>
    <w:p>
      <w:pPr>
        <w:pStyle w:val="Normal"/>
        <w:jc w:val="both"/>
        <w:rPr>
          <w:i/>
          <w:i/>
          <w:sz w:val="24"/>
          <w:szCs w:val="24"/>
        </w:rPr>
      </w:pPr>
      <w:r>
        <w:rPr>
          <w:i/>
          <w:sz w:val="24"/>
          <w:szCs w:val="24"/>
        </w:rPr>
      </w:r>
    </w:p>
    <w:p>
      <w:pPr>
        <w:pStyle w:val="Normal"/>
        <w:jc w:val="right"/>
        <w:rPr>
          <w:sz w:val="24"/>
          <w:szCs w:val="24"/>
        </w:rPr>
      </w:pPr>
      <w:r>
        <w:rPr>
          <w:sz w:val="24"/>
          <w:szCs w:val="24"/>
        </w:rPr>
        <w:t>Додаток 2</w:t>
      </w:r>
    </w:p>
    <w:p>
      <w:pPr>
        <w:pStyle w:val="Normal"/>
        <w:jc w:val="center"/>
        <w:rPr>
          <w:b/>
          <w:b/>
          <w:sz w:val="24"/>
          <w:szCs w:val="24"/>
        </w:rPr>
      </w:pPr>
      <w:r>
        <w:rPr>
          <w:b/>
          <w:sz w:val="24"/>
          <w:szCs w:val="24"/>
        </w:rPr>
      </w:r>
    </w:p>
    <w:p>
      <w:pPr>
        <w:pStyle w:val="Normal"/>
        <w:jc w:val="center"/>
        <w:rPr>
          <w:b/>
          <w:b/>
          <w:bCs/>
          <w:sz w:val="22"/>
          <w:szCs w:val="22"/>
        </w:rPr>
      </w:pPr>
      <w:r>
        <w:rPr>
          <w:b/>
          <w:bCs/>
          <w:sz w:val="22"/>
          <w:szCs w:val="22"/>
        </w:rPr>
        <w:t xml:space="preserve">Перелік документів, які повинен надати Переможець </w:t>
      </w:r>
    </w:p>
    <w:p>
      <w:pPr>
        <w:pStyle w:val="Normal"/>
        <w:jc w:val="center"/>
        <w:rPr>
          <w:b/>
          <w:b/>
          <w:bCs/>
          <w:sz w:val="22"/>
          <w:szCs w:val="22"/>
        </w:rPr>
      </w:pPr>
      <w:r>
        <w:rPr>
          <w:b/>
          <w:bCs/>
          <w:sz w:val="22"/>
          <w:szCs w:val="22"/>
        </w:rPr>
        <w:t xml:space="preserve">для укладення договору </w:t>
      </w:r>
    </w:p>
    <w:p>
      <w:pPr>
        <w:pStyle w:val="Normal"/>
        <w:jc w:val="center"/>
        <w:rPr>
          <w:b/>
          <w:b/>
          <w:bCs/>
          <w:sz w:val="22"/>
          <w:szCs w:val="22"/>
        </w:rPr>
      </w:pPr>
      <w:r>
        <w:rPr>
          <w:b/>
          <w:bCs/>
          <w:sz w:val="22"/>
          <w:szCs w:val="22"/>
        </w:rPr>
      </w:r>
    </w:p>
    <w:p>
      <w:pPr>
        <w:pStyle w:val="Normal"/>
        <w:numPr>
          <w:ilvl w:val="0"/>
          <w:numId w:val="2"/>
        </w:numPr>
        <w:tabs>
          <w:tab w:val="left" w:pos="426" w:leader="none"/>
        </w:tabs>
        <w:ind w:left="0" w:right="22" w:hanging="0"/>
        <w:jc w:val="both"/>
        <w:rPr>
          <w:sz w:val="24"/>
          <w:szCs w:val="24"/>
        </w:rPr>
      </w:pPr>
      <w:r>
        <w:rPr>
          <w:sz w:val="24"/>
          <w:szCs w:val="24"/>
        </w:rPr>
        <w:t>Копія інформації з реєстру платників податку на додану вартість (свідоцтво, витяг тощо) або свідоцтва про сплату єдиного податку, (наведені документи/інформація надаються переможцем у разі наявності).</w:t>
      </w:r>
    </w:p>
    <w:p>
      <w:pPr>
        <w:pStyle w:val="Normal"/>
        <w:numPr>
          <w:ilvl w:val="0"/>
          <w:numId w:val="2"/>
        </w:numPr>
        <w:tabs>
          <w:tab w:val="left" w:pos="426" w:leader="none"/>
        </w:tabs>
        <w:ind w:left="0" w:right="22" w:hanging="0"/>
        <w:jc w:val="both"/>
        <w:rPr>
          <w:sz w:val="24"/>
          <w:szCs w:val="24"/>
        </w:rPr>
      </w:pPr>
      <w:r>
        <w:rPr>
          <w:sz w:val="24"/>
          <w:szCs w:val="24"/>
        </w:rPr>
        <w:t xml:space="preserve">Оригінал або нотаріально завірена копія довідки наданої податковою службою  </w:t>
      </w:r>
      <w:r>
        <w:rPr>
          <w:rStyle w:val="Rvts23"/>
          <w:sz w:val="24"/>
          <w:szCs w:val="24"/>
        </w:rPr>
        <w:t>про відсутність заборгованості з податків, зборів, платежів, що контролюються органами доходів і зборів</w:t>
      </w:r>
      <w:r>
        <w:rPr>
          <w:sz w:val="24"/>
          <w:szCs w:val="24"/>
        </w:rPr>
        <w:t xml:space="preserve">, дійсну на день подання такої довідки (у разі видання відповідним органом Державної фіскальної служби у паперовій формі) або </w:t>
      </w:r>
      <w:r>
        <w:rPr>
          <w:spacing w:val="-6"/>
          <w:sz w:val="24"/>
          <w:szCs w:val="24"/>
        </w:rPr>
        <w:t xml:space="preserve"> </w:t>
      </w:r>
      <w:r>
        <w:rPr>
          <w:spacing w:val="-6"/>
          <w:sz w:val="24"/>
          <w:szCs w:val="24"/>
          <w:shd w:fill="FFFFFF" w:val="clear"/>
        </w:rPr>
        <w:t xml:space="preserve">довідку про відсутність заборгованості з податків і зборів (обов’язкових платежів), яка підписана шляхом накладення електронного цифрового підпису (ЕЦП) або кваліфікованого електронного підпису (ЕКП)  посадових осіб контролюючого органу, дійсна на дату подання такої довідки (у разі отримання довідки в електронній формі).  </w:t>
      </w:r>
      <w:r>
        <w:rPr>
          <w:sz w:val="24"/>
          <w:szCs w:val="24"/>
        </w:rPr>
        <w:t>А</w:t>
      </w:r>
      <w:r>
        <w:rPr>
          <w:rFonts w:eastAsia="SimSun;宋体"/>
          <w:sz w:val="24"/>
          <w:szCs w:val="24"/>
        </w:rPr>
        <w:t>бо інформація (видана в електронній або у паперовій формі або нотаріально завірена копія) про наявність такої заборгованості, видана відповідним органом Державної фіскальної служби.</w:t>
      </w:r>
      <w:r>
        <w:rPr>
          <w:sz w:val="24"/>
          <w:szCs w:val="24"/>
          <w:lang w:val="ru-RU"/>
        </w:rPr>
        <w:t xml:space="preserve"> Довідка надається за формою, встановленою законодавством.</w:t>
      </w:r>
    </w:p>
    <w:p>
      <w:pPr>
        <w:pStyle w:val="ListParagraph"/>
        <w:keepNext/>
        <w:keepLines/>
        <w:tabs>
          <w:tab w:val="left" w:pos="426" w:leader="none"/>
          <w:tab w:val="left" w:pos="1080" w:leader="none"/>
        </w:tabs>
        <w:spacing w:lineRule="exact" w:line="240"/>
        <w:ind w:left="0" w:hanging="0"/>
        <w:jc w:val="both"/>
        <w:rPr>
          <w:sz w:val="24"/>
          <w:szCs w:val="24"/>
        </w:rPr>
      </w:pPr>
      <w:r>
        <w:rPr>
          <w:i/>
          <w:spacing w:val="-6"/>
          <w:sz w:val="24"/>
          <w:szCs w:val="24"/>
          <w:shd w:fill="FFFFFF" w:val="clear"/>
        </w:rPr>
        <w:t xml:space="preserve">У разі надання довідки в електронній формі, </w:t>
      </w:r>
      <w:r>
        <w:rPr>
          <w:i/>
          <w:spacing w:val="-6"/>
          <w:sz w:val="24"/>
          <w:szCs w:val="24"/>
        </w:rPr>
        <w:t>додатково Замовник самостійно може перевірити дану інформацію у відкритому неофіційному реєстрі «Дізнайся про свого бізнес-партнера» який знаходиться на офіційному сайті ДФС.</w:t>
      </w:r>
    </w:p>
    <w:p>
      <w:pPr>
        <w:pStyle w:val="Normal"/>
        <w:numPr>
          <w:ilvl w:val="0"/>
          <w:numId w:val="2"/>
        </w:numPr>
        <w:tabs>
          <w:tab w:val="left" w:pos="426" w:leader="none"/>
        </w:tabs>
        <w:ind w:left="0" w:right="22" w:hanging="0"/>
        <w:jc w:val="both"/>
        <w:outlineLvl w:val="0"/>
        <w:rPr>
          <w:sz w:val="24"/>
          <w:szCs w:val="24"/>
        </w:rPr>
      </w:pPr>
      <w:r>
        <w:rPr>
          <w:sz w:val="24"/>
          <w:szCs w:val="24"/>
        </w:rPr>
        <w:t>Довідка, складена у довільній формі, яка містить відомості про підприємство:</w:t>
      </w:r>
    </w:p>
    <w:p>
      <w:pPr>
        <w:pStyle w:val="ListParagraph"/>
        <w:numPr>
          <w:ilvl w:val="0"/>
          <w:numId w:val="3"/>
        </w:numPr>
        <w:tabs>
          <w:tab w:val="left" w:pos="426" w:leader="none"/>
        </w:tabs>
        <w:ind w:left="780" w:right="22" w:hanging="360"/>
        <w:jc w:val="both"/>
        <w:outlineLvl w:val="0"/>
        <w:rPr>
          <w:sz w:val="24"/>
          <w:szCs w:val="24"/>
        </w:rPr>
      </w:pPr>
      <w:r>
        <w:rPr>
          <w:sz w:val="24"/>
          <w:szCs w:val="24"/>
        </w:rPr>
        <w:t>реквізити (адреса</w:t>
      </w:r>
      <w:r>
        <w:rPr>
          <w:sz w:val="24"/>
          <w:szCs w:val="24"/>
          <w:lang w:val="uk-UA"/>
        </w:rPr>
        <w:t xml:space="preserve">: </w:t>
      </w:r>
      <w:r>
        <w:rPr>
          <w:sz w:val="24"/>
          <w:szCs w:val="24"/>
        </w:rPr>
        <w:t>юридична та фактична</w:t>
      </w:r>
      <w:r>
        <w:rPr>
          <w:sz w:val="24"/>
          <w:szCs w:val="24"/>
          <w:lang w:val="uk-UA"/>
        </w:rPr>
        <w:t>, телефон, факс);</w:t>
      </w:r>
    </w:p>
    <w:p>
      <w:pPr>
        <w:pStyle w:val="ListParagraph"/>
        <w:numPr>
          <w:ilvl w:val="0"/>
          <w:numId w:val="3"/>
        </w:numPr>
        <w:tabs>
          <w:tab w:val="left" w:pos="426" w:leader="none"/>
        </w:tabs>
        <w:ind w:left="780" w:right="22" w:hanging="360"/>
        <w:jc w:val="both"/>
        <w:outlineLvl w:val="0"/>
        <w:rPr>
          <w:sz w:val="24"/>
          <w:szCs w:val="24"/>
        </w:rPr>
      </w:pPr>
      <w:r>
        <w:rPr>
          <w:sz w:val="24"/>
          <w:szCs w:val="24"/>
          <w:lang w:val="uk-UA"/>
        </w:rPr>
        <w:t>керівництво (посада, ПІБ, телефон для контактів) - для юридичних осіб;</w:t>
      </w:r>
    </w:p>
    <w:p>
      <w:pPr>
        <w:pStyle w:val="ListParagraph"/>
        <w:numPr>
          <w:ilvl w:val="0"/>
          <w:numId w:val="3"/>
        </w:numPr>
        <w:tabs>
          <w:tab w:val="left" w:pos="426" w:leader="none"/>
        </w:tabs>
        <w:ind w:left="780" w:right="22" w:hanging="360"/>
        <w:jc w:val="both"/>
        <w:outlineLvl w:val="0"/>
        <w:rPr>
          <w:sz w:val="24"/>
          <w:szCs w:val="24"/>
        </w:rPr>
      </w:pPr>
      <w:r>
        <w:rPr>
          <w:sz w:val="24"/>
          <w:szCs w:val="24"/>
          <w:lang w:val="uk-UA"/>
        </w:rPr>
        <w:t>банківські реквізити.</w:t>
      </w:r>
    </w:p>
    <w:p>
      <w:pPr>
        <w:pStyle w:val="Normal"/>
        <w:numPr>
          <w:ilvl w:val="0"/>
          <w:numId w:val="2"/>
        </w:numPr>
        <w:tabs>
          <w:tab w:val="left" w:pos="426" w:leader="none"/>
        </w:tabs>
        <w:ind w:left="0" w:right="22" w:hanging="0"/>
        <w:jc w:val="both"/>
        <w:outlineLvl w:val="0"/>
        <w:rPr>
          <w:i/>
          <w:i/>
          <w:sz w:val="24"/>
          <w:szCs w:val="24"/>
        </w:rPr>
      </w:pPr>
      <w:r>
        <w:rPr>
          <w:sz w:val="24"/>
          <w:szCs w:val="24"/>
        </w:rPr>
        <w:t>Довідка в довільній формі про чисельність постійного та контрактного персоналу, який має необхідні знання та досвід.</w:t>
      </w:r>
    </w:p>
    <w:p>
      <w:pPr>
        <w:pStyle w:val="Normal"/>
        <w:jc w:val="both"/>
        <w:rPr>
          <w:i/>
          <w:i/>
          <w:sz w:val="24"/>
          <w:szCs w:val="24"/>
        </w:rPr>
      </w:pPr>
      <w:r>
        <w:rPr>
          <w:i/>
          <w:sz w:val="24"/>
          <w:szCs w:val="24"/>
        </w:rPr>
      </w:r>
    </w:p>
    <w:p>
      <w:pPr>
        <w:pStyle w:val="Normal"/>
        <w:jc w:val="both"/>
        <w:rPr>
          <w:i/>
          <w:i/>
          <w:sz w:val="24"/>
          <w:szCs w:val="24"/>
        </w:rPr>
      </w:pPr>
      <w:r>
        <w:rPr>
          <w:i/>
          <w:sz w:val="24"/>
          <w:szCs w:val="24"/>
        </w:rPr>
        <w:t>Документи, що підготовлені безпосередньо Переможцем, повинні містити дату створення документа, реєстраційний номер і підпис уповноваженої особи.</w:t>
      </w:r>
    </w:p>
    <w:p>
      <w:pPr>
        <w:pStyle w:val="Normal"/>
        <w:tabs>
          <w:tab w:val="left" w:pos="1080" w:leader="none"/>
        </w:tabs>
        <w:ind w:right="23" w:hanging="0"/>
        <w:jc w:val="both"/>
        <w:rPr>
          <w:i/>
          <w:i/>
          <w:sz w:val="24"/>
          <w:szCs w:val="24"/>
        </w:rPr>
      </w:pPr>
      <w:r>
        <w:rPr>
          <w:i/>
          <w:sz w:val="24"/>
          <w:szCs w:val="24"/>
        </w:rPr>
        <w:t>Копії документів,вказаних у цьому Переліку надаються протягом 6</w:t>
      </w:r>
      <w:r>
        <w:rPr>
          <w:bCs/>
          <w:i/>
          <w:sz w:val="22"/>
          <w:szCs w:val="22"/>
        </w:rPr>
        <w:t xml:space="preserve"> (шест</w:t>
      </w:r>
      <w:r>
        <w:rPr>
          <w:bCs/>
          <w:i/>
          <w:sz w:val="22"/>
          <w:szCs w:val="22"/>
          <w:lang w:val="ru-RU"/>
        </w:rPr>
        <w:t>и</w:t>
      </w:r>
      <w:r>
        <w:rPr>
          <w:bCs/>
          <w:i/>
          <w:sz w:val="22"/>
          <w:szCs w:val="22"/>
        </w:rPr>
        <w:t>) робочих днів</w:t>
      </w:r>
      <w:r>
        <w:rPr>
          <w:bCs/>
          <w:i/>
          <w:sz w:val="22"/>
          <w:szCs w:val="22"/>
          <w:lang w:val="ru-RU"/>
        </w:rPr>
        <w:t>, наступних за днем опублікування протоколу електронних торгів</w:t>
      </w:r>
      <w:r>
        <w:rPr>
          <w:i/>
          <w:sz w:val="24"/>
          <w:szCs w:val="24"/>
        </w:rPr>
        <w:t xml:space="preserve">, за адресою – </w:t>
      </w:r>
      <w:r>
        <w:rPr>
          <w:bCs/>
          <w:i/>
          <w:sz w:val="22"/>
          <w:szCs w:val="22"/>
        </w:rPr>
        <w:t xml:space="preserve">69096, </w:t>
      </w:r>
      <w:r>
        <w:rPr>
          <w:i/>
          <w:sz w:val="24"/>
          <w:szCs w:val="24"/>
        </w:rPr>
        <w:t xml:space="preserve">м. Запоріжжя, </w:t>
      </w:r>
      <w:r>
        <w:rPr>
          <w:bCs/>
          <w:i/>
          <w:sz w:val="22"/>
          <w:szCs w:val="22"/>
        </w:rPr>
        <w:t>вул. Каховська, 3а</w:t>
      </w:r>
      <w:r>
        <w:rPr>
          <w:i/>
          <w:sz w:val="24"/>
          <w:szCs w:val="24"/>
        </w:rPr>
        <w:t xml:space="preserve"> (приймальня). Ненадання переможцем аукціону зазначених вище документів в передбачені цим оголошенням строки та невиконання вимог п. 7.29 Регламенту є підставою для дискваліфікації такого переможця відповідно до п. 8.3 Регламенту.</w:t>
      </w:r>
    </w:p>
    <w:p>
      <w:pPr>
        <w:pStyle w:val="Normal"/>
        <w:rPr>
          <w:sz w:val="24"/>
          <w:szCs w:val="24"/>
        </w:rPr>
      </w:pPr>
      <w:r>
        <w:rPr>
          <w:sz w:val="24"/>
          <w:szCs w:val="24"/>
        </w:rPr>
      </w:r>
    </w:p>
    <w:p>
      <w:pPr>
        <w:pStyle w:val="Normal"/>
        <w:rPr>
          <w:sz w:val="24"/>
          <w:szCs w:val="24"/>
        </w:rPr>
      </w:pPr>
      <w:r>
        <w:rPr>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sz w:val="24"/>
          <w:szCs w:val="24"/>
          <w:u w:val="single"/>
        </w:rPr>
      </w:pPr>
      <w:r>
        <w:rPr/>
      </w:r>
    </w:p>
    <w:sectPr>
      <w:footerReference w:type="default" r:id="rId2"/>
      <w:type w:val="nextPage"/>
      <w:pgSz w:w="11906" w:h="16838"/>
      <w:pgMar w:left="1260" w:right="746" w:header="0" w:top="567" w:footer="720" w:bottom="777" w:gutter="0"/>
      <w:pgNumType w:fmt="decimal"/>
      <w:formProt w:val="false"/>
      <w:titlePg/>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Liberation Sans">
    <w:altName w:val="Arial"/>
    <w:charset w:val="01"/>
    <w:family w:val="swiss"/>
    <w:pitch w:val="variable"/>
  </w:font>
  <w:font w:name="Tahoma">
    <w:charset w:val="01"/>
    <w:family w:val="roman"/>
    <w:pitch w:val="variable"/>
  </w:font>
  <w:font w:name="Verdana">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64135" cy="146685"/>
              <wp:effectExtent l="0" t="0" r="0" b="0"/>
              <wp:wrapSquare wrapText="largest"/>
              <wp:docPr id="1" name="Врезка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Style22"/>
                            <w:pBdr/>
                            <w:rPr/>
                          </w:pPr>
                          <w:r>
                            <w:rPr>
                              <w:rStyle w:val="Pagenumber"/>
                            </w:rPr>
                            <w:fldChar w:fldCharType="begin"/>
                          </w:r>
                          <w:r>
                            <w:instrText> PAGE </w:instrText>
                          </w:r>
                          <w:r>
                            <w:fldChar w:fldCharType="separate"/>
                          </w:r>
                          <w:r>
                            <w:t>2</w:t>
                          </w:r>
                          <w: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489.95pt;mso-position-horizontal:right;mso-position-horizontal-relative:margin">
              <v:fill opacity="0f"/>
              <v:textbox inset="0in,0in,0in,0in">
                <w:txbxContent>
                  <w:p>
                    <w:pPr>
                      <w:pStyle w:val="Style22"/>
                      <w:pBdr/>
                      <w:rP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rPr>
        <w:sz w:val="24"/>
        <w:i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80" w:hanging="360"/>
      </w:pPr>
      <w:rPr>
        <w:rFonts w:ascii="Times New Roman" w:hAnsi="Times New Roman" w:cs="Times New Roman" w:hint="default"/>
        <w:sz w:val="24"/>
        <w:rFonts w:cs="Times New Roman"/>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8"/>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HTML Preformatted" w:qFormat="1"/>
    <w:lsdException w:name="Table Grid" w:locked="1"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005a"/>
    <w:pPr>
      <w:widowControl/>
      <w:bidi w:val="0"/>
      <w:jc w:val="left"/>
    </w:pPr>
    <w:rPr>
      <w:rFonts w:ascii="Times New Roman" w:hAnsi="Times New Roman" w:eastAsia="Times New Roman" w:cs="Times New Roman"/>
      <w:color w:val="auto"/>
      <w:sz w:val="20"/>
      <w:szCs w:val="20"/>
      <w:lang w:val="uk-UA" w:eastAsia="ru-RU" w:bidi="ar-SA"/>
    </w:rPr>
  </w:style>
  <w:style w:type="paragraph" w:styleId="1">
    <w:name w:val="Heading 1"/>
    <w:basedOn w:val="Normal"/>
    <w:link w:val="10"/>
    <w:qFormat/>
    <w:locked/>
    <w:rsid w:val="006e57ee"/>
    <w:pPr>
      <w:keepNext/>
      <w:spacing w:before="240" w:after="60"/>
      <w:outlineLvl w:val="0"/>
    </w:pPr>
    <w:rPr>
      <w:rFonts w:ascii="Arial" w:hAnsi="Arial" w:cs="Arial"/>
      <w:b/>
      <w:bCs/>
      <w:sz w:val="32"/>
      <w:szCs w:val="32"/>
    </w:rPr>
  </w:style>
  <w:style w:type="character" w:styleId="DefaultParagraphFont" w:default="1">
    <w:name w:val="Default Paragraph Font"/>
    <w:uiPriority w:val="1"/>
    <w:semiHidden/>
    <w:unhideWhenUsed/>
    <w:qFormat/>
    <w:rPr/>
  </w:style>
  <w:style w:type="character" w:styleId="Style13" w:customStyle="1">
    <w:name w:val="Нижний колонтитул Знак"/>
    <w:basedOn w:val="DefaultParagraphFont"/>
    <w:link w:val="a3"/>
    <w:uiPriority w:val="99"/>
    <w:qFormat/>
    <w:locked/>
    <w:rsid w:val="006a7c89"/>
    <w:rPr>
      <w:rFonts w:ascii="Times New Roman" w:hAnsi="Times New Roman" w:cs="Times New Roman"/>
      <w:sz w:val="20"/>
      <w:szCs w:val="20"/>
      <w:lang w:val="uk-UA" w:eastAsia="ru-RU"/>
    </w:rPr>
  </w:style>
  <w:style w:type="character" w:styleId="Pagenumber">
    <w:name w:val="page number"/>
    <w:basedOn w:val="DefaultParagraphFont"/>
    <w:uiPriority w:val="99"/>
    <w:qFormat/>
    <w:rsid w:val="006a7c89"/>
    <w:rPr/>
  </w:style>
  <w:style w:type="character" w:styleId="Style14" w:customStyle="1">
    <w:name w:val="Текст выноски Знак"/>
    <w:basedOn w:val="DefaultParagraphFont"/>
    <w:link w:val="a6"/>
    <w:uiPriority w:val="99"/>
    <w:semiHidden/>
    <w:qFormat/>
    <w:locked/>
    <w:rsid w:val="00dd785e"/>
    <w:rPr>
      <w:rFonts w:ascii="Times New Roman" w:hAnsi="Times New Roman" w:cs="Times New Roman"/>
      <w:sz w:val="2"/>
      <w:szCs w:val="2"/>
      <w:lang w:val="uk-UA"/>
    </w:rPr>
  </w:style>
  <w:style w:type="character" w:styleId="Style15" w:customStyle="1">
    <w:name w:val="Основной текст Знак"/>
    <w:basedOn w:val="DefaultParagraphFont"/>
    <w:link w:val="a9"/>
    <w:uiPriority w:val="99"/>
    <w:qFormat/>
    <w:rsid w:val="003d38e4"/>
    <w:rPr>
      <w:rFonts w:ascii="Times New Roman" w:hAnsi="Times New Roman" w:eastAsia="Times New Roman"/>
      <w:sz w:val="24"/>
      <w:szCs w:val="24"/>
    </w:rPr>
  </w:style>
  <w:style w:type="character" w:styleId="HTML" w:customStyle="1">
    <w:name w:val="Стандартный HTML Знак"/>
    <w:basedOn w:val="DefaultParagraphFont"/>
    <w:link w:val="HTML"/>
    <w:uiPriority w:val="99"/>
    <w:qFormat/>
    <w:rsid w:val="003d38e4"/>
    <w:rPr>
      <w:rFonts w:ascii="Courier New" w:hAnsi="Courier New" w:eastAsia="Times New Roman" w:cs="Courier New"/>
    </w:rPr>
  </w:style>
  <w:style w:type="character" w:styleId="11" w:customStyle="1">
    <w:name w:val="Заголовок 1 Знак"/>
    <w:basedOn w:val="DefaultParagraphFont"/>
    <w:link w:val="1"/>
    <w:qFormat/>
    <w:rsid w:val="006e57ee"/>
    <w:rPr>
      <w:rFonts w:ascii="Arial" w:hAnsi="Arial" w:eastAsia="Times New Roman" w:cs="Arial"/>
      <w:b/>
      <w:bCs/>
      <w:sz w:val="32"/>
      <w:szCs w:val="32"/>
      <w:lang w:val="uk-UA"/>
    </w:rPr>
  </w:style>
  <w:style w:type="character" w:styleId="FontStyle20" w:customStyle="1">
    <w:name w:val="Font Style20"/>
    <w:basedOn w:val="DefaultParagraphFont"/>
    <w:uiPriority w:val="99"/>
    <w:qFormat/>
    <w:rsid w:val="00766e72"/>
    <w:rPr>
      <w:rFonts w:ascii="Times New Roman" w:hAnsi="Times New Roman" w:cs="Times New Roman"/>
      <w:sz w:val="26"/>
      <w:szCs w:val="26"/>
    </w:rPr>
  </w:style>
  <w:style w:type="character" w:styleId="Rvts23" w:customStyle="1">
    <w:name w:val="rvts23"/>
    <w:basedOn w:val="DefaultParagraphFont"/>
    <w:qFormat/>
    <w:rsid w:val="00fb4c35"/>
    <w:rPr/>
  </w:style>
  <w:style w:type="character" w:styleId="Style16">
    <w:name w:val="Интернет-ссылка"/>
    <w:basedOn w:val="DefaultParagraphFont"/>
    <w:uiPriority w:val="99"/>
    <w:semiHidden/>
    <w:unhideWhenUsed/>
    <w:rsid w:val="000938a8"/>
    <w:rPr>
      <w:color w:val="0000FF"/>
      <w:u w:val="single"/>
    </w:rPr>
  </w:style>
  <w:style w:type="character" w:styleId="ListLabel1">
    <w:name w:val="ListLabel 1"/>
    <w:qFormat/>
    <w:rPr>
      <w:rFonts w:cs="Times New Roman"/>
    </w:rPr>
  </w:style>
  <w:style w:type="character" w:styleId="ListLabel2">
    <w:name w:val="ListLabel 2"/>
    <w:qFormat/>
    <w:rPr>
      <w:rFonts w:cs="Times New Roman"/>
      <w:b w:val="false"/>
      <w:bCs w:val="false"/>
      <w:sz w:val="24"/>
      <w:szCs w:val="24"/>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i w:val="false"/>
      <w:sz w:val="24"/>
    </w:rPr>
  </w:style>
  <w:style w:type="character" w:styleId="ListLabel28">
    <w:name w:val="ListLabel 28"/>
    <w:qFormat/>
    <w:rPr>
      <w:rFonts w:eastAsia="Times New Roman" w:cs="Times New Roman"/>
      <w:sz w:val="24"/>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00000A"/>
    </w:rPr>
  </w:style>
  <w:style w:type="character" w:styleId="ListLabel33">
    <w:name w:val="ListLabel 33"/>
    <w:qFormat/>
    <w:rPr>
      <w:color w:val="00000A"/>
    </w:rPr>
  </w:style>
  <w:style w:type="character" w:styleId="ListLabel34">
    <w:name w:val="ListLabel 34"/>
    <w:qFormat/>
    <w:rPr>
      <w:b w:val="false"/>
    </w:rPr>
  </w:style>
  <w:style w:type="character" w:styleId="ListLabel35">
    <w:name w:val="ListLabel 35"/>
    <w:qFormat/>
    <w:rPr>
      <w:b w:val="false"/>
    </w:rPr>
  </w:style>
  <w:style w:type="character" w:styleId="ListLabel36">
    <w:name w:val="ListLabel 36"/>
    <w:qFormat/>
    <w:rPr>
      <w:rFonts w:cs="Times New Roman"/>
    </w:rPr>
  </w:style>
  <w:style w:type="character" w:styleId="ListLabel37">
    <w:name w:val="ListLabel 37"/>
    <w:qFormat/>
    <w:rPr>
      <w:rFonts w:cs="Times New Roman"/>
      <w:b w:val="false"/>
      <w:bCs w:val="false"/>
      <w:sz w:val="24"/>
      <w:szCs w:val="24"/>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b/>
      <w:sz w:val="24"/>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color w:val="00000A"/>
      <w:sz w:val="24"/>
    </w:rPr>
  </w:style>
  <w:style w:type="character" w:styleId="ListLabel55">
    <w:name w:val="ListLabel 55"/>
    <w:qFormat/>
    <w:rPr>
      <w:color w:val="00000A"/>
      <w:sz w:val="24"/>
    </w:rPr>
  </w:style>
  <w:style w:type="character" w:styleId="ListLabel56">
    <w:name w:val="ListLabel 56"/>
    <w:qFormat/>
    <w:rPr>
      <w:rFonts w:cs="Times New Roman"/>
    </w:rPr>
  </w:style>
  <w:style w:type="character" w:styleId="ListLabel57">
    <w:name w:val="ListLabel 57"/>
    <w:qFormat/>
    <w:rPr>
      <w:b w:val="false"/>
      <w:color w:val="00000A"/>
      <w:sz w:val="24"/>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ascii="Times New Roman" w:hAnsi="Times New Roman"/>
      <w:b/>
      <w:sz w:val="24"/>
    </w:rPr>
  </w:style>
  <w:style w:type="character" w:styleId="ListLabel66">
    <w:name w:val="ListLabel 66"/>
    <w:qFormat/>
    <w:rPr>
      <w:rFonts w:cs="Symbol"/>
      <w:sz w:val="24"/>
    </w:rPr>
  </w:style>
  <w:style w:type="character" w:styleId="ListLabel67">
    <w:name w:val="ListLabel 67"/>
    <w:qFormat/>
    <w:rPr>
      <w:b/>
      <w:sz w:val="24"/>
    </w:rPr>
  </w:style>
  <w:style w:type="character" w:styleId="ListLabel68">
    <w:name w:val="ListLabel 68"/>
    <w:qFormat/>
    <w:rPr>
      <w:b w:val="false"/>
    </w:rPr>
  </w:style>
  <w:style w:type="paragraph" w:styleId="Style17">
    <w:name w:val="Заголовок"/>
    <w:basedOn w:val="Normal"/>
    <w:next w:val="Style18"/>
    <w:qFormat/>
    <w:pPr>
      <w:keepNext/>
      <w:spacing w:before="240" w:after="120"/>
    </w:pPr>
    <w:rPr>
      <w:rFonts w:ascii="Liberation Sans" w:hAnsi="Liberation Sans" w:eastAsia="WenQuanYi Zen Hei" w:cs="Lohit Devanagari"/>
      <w:sz w:val="28"/>
      <w:szCs w:val="28"/>
    </w:rPr>
  </w:style>
  <w:style w:type="paragraph" w:styleId="Style18">
    <w:name w:val="Body Text"/>
    <w:basedOn w:val="Normal"/>
    <w:link w:val="aa"/>
    <w:uiPriority w:val="99"/>
    <w:rsid w:val="003d38e4"/>
    <w:pPr/>
    <w:rPr>
      <w:sz w:val="24"/>
      <w:szCs w:val="24"/>
      <w:lang w:val="ru-RU"/>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Style22">
    <w:name w:val="Footer"/>
    <w:basedOn w:val="Normal"/>
    <w:link w:val="a4"/>
    <w:uiPriority w:val="99"/>
    <w:rsid w:val="006a7c89"/>
    <w:pPr>
      <w:tabs>
        <w:tab w:val="center" w:pos="4677" w:leader="none"/>
        <w:tab w:val="right" w:pos="9355" w:leader="none"/>
      </w:tabs>
    </w:pPr>
    <w:rPr/>
  </w:style>
  <w:style w:type="paragraph" w:styleId="BalloonText">
    <w:name w:val="Balloon Text"/>
    <w:basedOn w:val="Normal"/>
    <w:link w:val="a7"/>
    <w:uiPriority w:val="99"/>
    <w:semiHidden/>
    <w:qFormat/>
    <w:rsid w:val="00945e19"/>
    <w:pPr/>
    <w:rPr>
      <w:rFonts w:ascii="Tahoma" w:hAnsi="Tahoma" w:cs="Tahoma"/>
      <w:sz w:val="16"/>
      <w:szCs w:val="16"/>
    </w:rPr>
  </w:style>
  <w:style w:type="paragraph" w:styleId="Style23" w:customStyle="1">
    <w:name w:val="Знак Знак Знак"/>
    <w:basedOn w:val="Normal"/>
    <w:uiPriority w:val="99"/>
    <w:qFormat/>
    <w:rsid w:val="001325ce"/>
    <w:pPr/>
    <w:rPr>
      <w:rFonts w:ascii="Verdana" w:hAnsi="Verdana" w:eastAsia="Calibri" w:cs="Verdana"/>
      <w:lang w:val="en-US" w:eastAsia="en-US"/>
    </w:rPr>
  </w:style>
  <w:style w:type="paragraph" w:styleId="12" w:customStyle="1">
    <w:name w:val="Знак Знак Знак1"/>
    <w:basedOn w:val="Normal"/>
    <w:uiPriority w:val="99"/>
    <w:qFormat/>
    <w:rsid w:val="00be6968"/>
    <w:pPr/>
    <w:rPr>
      <w:rFonts w:ascii="Verdana" w:hAnsi="Verdana" w:eastAsia="Calibri" w:cs="Verdana"/>
      <w:lang w:val="en-US" w:eastAsia="en-US"/>
    </w:rPr>
  </w:style>
  <w:style w:type="paragraph" w:styleId="ListParagraph">
    <w:name w:val="List Paragraph"/>
    <w:basedOn w:val="Normal"/>
    <w:uiPriority w:val="34"/>
    <w:qFormat/>
    <w:rsid w:val="003d38e4"/>
    <w:pPr>
      <w:ind w:left="720" w:hanging="0"/>
    </w:pPr>
    <w:rPr>
      <w:lang w:val="ru-RU"/>
    </w:rPr>
  </w:style>
  <w:style w:type="paragraph" w:styleId="HTMLPreformatted">
    <w:name w:val="HTML Preformatted"/>
    <w:basedOn w:val="Normal"/>
    <w:link w:val="HTML0"/>
    <w:uiPriority w:val="99"/>
    <w:qFormat/>
    <w:rsid w:val="003d38e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lang w:val="ru-RU"/>
    </w:rPr>
  </w:style>
  <w:style w:type="paragraph" w:styleId="Fr1" w:customStyle="1">
    <w:name w:val="fr1"/>
    <w:basedOn w:val="Normal"/>
    <w:uiPriority w:val="99"/>
    <w:qFormat/>
    <w:rsid w:val="003d38e4"/>
    <w:pPr>
      <w:spacing w:before="100" w:after="0"/>
      <w:ind w:left="2720" w:hanging="0"/>
    </w:pPr>
    <w:rPr>
      <w:sz w:val="28"/>
      <w:szCs w:val="28"/>
      <w:lang w:val="ru-RU"/>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59"/>
    <w:rsid w:val="00d63fa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02075-607D-48F6-8609-82B526D7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Application>LibreOffice/5.2.7.2$Linux_X86_64 LibreOffice_project/20m0$Build-2</Application>
  <Pages>2</Pages>
  <Words>644</Words>
  <Characters>4361</Characters>
  <CharactersWithSpaces>5037</CharactersWithSpaces>
  <Paragraphs>25</Paragraphs>
  <Company>zoe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2018-09-26T06:52:00Z</dcterms:created>
  <dc:creator>EL.Vasilenko</dc:creator>
  <dc:description/>
  <dc:language>ru-RU</dc:language>
  <cp:lastModifiedBy/>
  <cp:lastPrinted>2018-09-26T07:16:00Z</cp:lastPrinted>
  <dcterms:modified xsi:type="dcterms:W3CDTF">2019-07-09T18:17:47Z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zoe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