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AF6" w:rsidRPr="00184E9A" w:rsidRDefault="00256AF6" w:rsidP="00256AF6">
      <w:pPr>
        <w:shd w:val="clear" w:color="auto" w:fill="FFFFFF"/>
        <w:spacing w:after="0" w:line="240" w:lineRule="auto"/>
        <w:ind w:left="7938"/>
        <w:jc w:val="center"/>
        <w:rPr>
          <w:rFonts w:ascii="Times New Roman" w:hAnsi="Times New Roman" w:cs="Times New Roman"/>
          <w:bCs/>
          <w:sz w:val="24"/>
          <w:szCs w:val="24"/>
          <w:lang w:val="uk-UA"/>
        </w:rPr>
      </w:pPr>
      <w:bookmarkStart w:id="0" w:name="_Hlk13581519"/>
      <w:r w:rsidRPr="00184E9A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Додаток </w:t>
      </w:r>
      <w:r w:rsidR="00184E9A" w:rsidRPr="00184E9A">
        <w:rPr>
          <w:rFonts w:ascii="Times New Roman" w:hAnsi="Times New Roman" w:cs="Times New Roman"/>
          <w:bCs/>
          <w:sz w:val="24"/>
          <w:szCs w:val="24"/>
          <w:lang w:val="uk-UA"/>
        </w:rPr>
        <w:t>5</w:t>
      </w:r>
    </w:p>
    <w:p w:rsidR="00256AF6" w:rsidRDefault="00256AF6" w:rsidP="00256AF6">
      <w:pPr>
        <w:shd w:val="clear" w:color="auto" w:fill="FFFFFF"/>
        <w:spacing w:after="0" w:line="240" w:lineRule="auto"/>
        <w:ind w:left="793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до протоколу № 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1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засідання аукціонної комісії для продажу об’єктів комунальної власності терито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ріальної громади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м. Харкова, що підлягають приватизації шляхом продажу на аукціоні на підставі рішення 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30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сесії Харківської міської ради 7 скликання від 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16.10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.2019 № 17</w:t>
      </w:r>
      <w:r w:rsidR="00DC6088">
        <w:rPr>
          <w:rFonts w:ascii="Times New Roman" w:hAnsi="Times New Roman" w:cs="Times New Roman"/>
          <w:bCs/>
          <w:sz w:val="24"/>
          <w:szCs w:val="24"/>
          <w:lang w:val="uk-UA"/>
        </w:rPr>
        <w:t>75</w:t>
      </w:r>
      <w:r w:rsidRPr="006E5B8E">
        <w:rPr>
          <w:rFonts w:ascii="Times New Roman" w:hAnsi="Times New Roman" w:cs="Times New Roman"/>
          <w:bCs/>
          <w:sz w:val="24"/>
          <w:szCs w:val="24"/>
          <w:lang w:val="uk-UA"/>
        </w:rPr>
        <w:t>/19 «Про приватизацію об’єктів комунальної власності територіальної громади м</w:t>
      </w:r>
      <w:r w:rsidRPr="006E5B8E">
        <w:rPr>
          <w:rFonts w:ascii="Times New Roman" w:hAnsi="Times New Roman" w:cs="Times New Roman"/>
          <w:sz w:val="24"/>
          <w:szCs w:val="24"/>
          <w:lang w:val="uk-UA"/>
        </w:rPr>
        <w:t>. Харкова</w:t>
      </w:r>
      <w:bookmarkEnd w:id="0"/>
      <w:r w:rsidRPr="006E5B8E">
        <w:rPr>
          <w:rFonts w:ascii="Times New Roman" w:hAnsi="Times New Roman" w:cs="Times New Roman"/>
          <w:sz w:val="24"/>
          <w:szCs w:val="24"/>
          <w:lang w:val="uk-UA"/>
        </w:rPr>
        <w:t>»</w:t>
      </w: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E7A1D" w:rsidRDefault="000E7A1D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53680" w:rsidRPr="00337B9B" w:rsidRDefault="00853680" w:rsidP="00274CFC">
      <w:pPr>
        <w:shd w:val="clear" w:color="auto" w:fill="FFFFFF"/>
        <w:spacing w:after="15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37B9B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Інформаційне повідомлення</w:t>
      </w:r>
    </w:p>
    <w:p w:rsidR="00853680" w:rsidRDefault="00853680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 приватизацію об’єкта малої приватизації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5F46F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–</w:t>
      </w:r>
      <w:r w:rsidRPr="00590DC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нежитлових приміщень </w:t>
      </w:r>
      <w:r w:rsidR="00BC0C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у підвальній частині 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житлов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ому</w:t>
      </w:r>
      <w:r w:rsidR="00D804B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буд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инку 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             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літ. «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А-</w:t>
      </w:r>
      <w:r w:rsidR="00BC0C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804B4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»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загальною</w:t>
      </w:r>
      <w:r w:rsid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площею </w:t>
      </w:r>
      <w:r w:rsidR="00BC0C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34</w:t>
      </w:r>
      <w:r w:rsidR="004147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,</w:t>
      </w:r>
      <w:r w:rsidR="00BC0C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кв.м </w:t>
      </w:r>
      <w:r w:rsidR="00AE70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 адресою: м. Харків, 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вул</w:t>
      </w:r>
      <w:r w:rsidR="00AE70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</w:t>
      </w:r>
      <w:r w:rsidR="0082394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BC0C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Чайковськ</w:t>
      </w:r>
      <w:r w:rsidR="00AE7089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а</w:t>
      </w:r>
      <w:r w:rsidR="00AF5CAD" w:rsidRPr="00AF5CA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, </w:t>
      </w:r>
      <w:r w:rsidR="00DC608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</w:t>
      </w:r>
      <w:r w:rsidR="00BC0C28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7</w:t>
      </w:r>
    </w:p>
    <w:p w:rsidR="00D804B4" w:rsidRPr="00274CFC" w:rsidRDefault="00D804B4" w:rsidP="00D804B4">
      <w:pPr>
        <w:shd w:val="clear" w:color="auto" w:fill="FFFFFF"/>
        <w:spacing w:after="0" w:line="240" w:lineRule="auto"/>
        <w:ind w:firstLine="45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51"/>
        <w:gridCol w:w="9000"/>
      </w:tblGrid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numPr>
                <w:ilvl w:val="0"/>
                <w:numId w:val="2"/>
              </w:numPr>
              <w:spacing w:after="150" w:line="240" w:lineRule="auto"/>
              <w:ind w:left="460" w:hanging="284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інформація про об’єкт приватизації: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A63477" w:rsidP="008452BB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1.1. дані про нежитлові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приміщення (місцезнаходження, площа, функц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ональне використання нежитлових приміщень</w:t>
            </w:r>
            <w:r w:rsidR="003B02F3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та умови користування ним</w:t>
            </w:r>
            <w:r w:rsidR="00853680"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)</w:t>
            </w:r>
          </w:p>
        </w:tc>
        <w:tc>
          <w:tcPr>
            <w:tcW w:w="9000" w:type="dxa"/>
          </w:tcPr>
          <w:p w:rsidR="006559C3" w:rsidRDefault="00AF5CAD" w:rsidP="00C15DE5">
            <w:pPr>
              <w:pStyle w:val="a8"/>
              <w:ind w:firstLine="567"/>
            </w:pPr>
            <w:r w:rsidRPr="00AF5CAD">
              <w:t xml:space="preserve">Нежитлові приміщення </w:t>
            </w:r>
            <w:r w:rsidR="00BC0C28">
              <w:t>у підвальній частині</w:t>
            </w:r>
            <w:r w:rsidRPr="00AF5CAD">
              <w:t xml:space="preserve"> №</w:t>
            </w:r>
            <w:r w:rsidR="00EC578D">
              <w:t> </w:t>
            </w:r>
            <w:r w:rsidR="00BC0C28">
              <w:t>17-21</w:t>
            </w:r>
            <w:r w:rsidRPr="00AF5CAD">
              <w:t xml:space="preserve"> </w:t>
            </w:r>
            <w:r w:rsidR="00BF6C2F">
              <w:t>в</w:t>
            </w:r>
            <w:r w:rsidR="00BF6C2F" w:rsidRPr="00AF5CAD">
              <w:t xml:space="preserve"> житлов</w:t>
            </w:r>
            <w:r w:rsidR="00BF6C2F">
              <w:t>ому</w:t>
            </w:r>
            <w:r w:rsidR="00BF6C2F" w:rsidRPr="00AF5CAD">
              <w:t xml:space="preserve"> буд</w:t>
            </w:r>
            <w:r w:rsidR="00BF6C2F">
              <w:t>инку</w:t>
            </w:r>
            <w:r w:rsidR="00BF6C2F" w:rsidRPr="00AF5CAD">
              <w:t xml:space="preserve"> літ. «</w:t>
            </w:r>
            <w:r w:rsidR="00BF6C2F">
              <w:t>А-</w:t>
            </w:r>
            <w:r w:rsidR="00BC0C28">
              <w:t>5</w:t>
            </w:r>
            <w:r w:rsidR="00BF6C2F" w:rsidRPr="00AF5CAD">
              <w:t>»</w:t>
            </w:r>
            <w:r w:rsidR="00BF6C2F">
              <w:t xml:space="preserve"> </w:t>
            </w:r>
            <w:r w:rsidRPr="00AF5CAD">
              <w:t xml:space="preserve">загальною площею </w:t>
            </w:r>
            <w:r w:rsidR="00BC0C28">
              <w:t>34</w:t>
            </w:r>
            <w:r w:rsidR="00823945">
              <w:t>,</w:t>
            </w:r>
            <w:r w:rsidR="00BC0C28">
              <w:t>8</w:t>
            </w:r>
            <w:r w:rsidRPr="00AF5CAD">
              <w:t xml:space="preserve"> кв.м розташовані в </w:t>
            </w:r>
            <w:r w:rsidR="00BC0C28">
              <w:t>Київському</w:t>
            </w:r>
            <w:r w:rsidR="00BF6C2F">
              <w:t xml:space="preserve"> </w:t>
            </w:r>
            <w:r w:rsidRPr="00AF5CAD">
              <w:t xml:space="preserve">районі міста за адресою: м. Харків, </w:t>
            </w:r>
            <w:r w:rsidR="00823945">
              <w:t xml:space="preserve">вулиця </w:t>
            </w:r>
            <w:r w:rsidR="00BC0C28">
              <w:t>Чайковська, 27</w:t>
            </w:r>
            <w:r w:rsidRPr="00AF5CAD">
              <w:t>.</w:t>
            </w:r>
            <w:r w:rsidR="005920DB">
              <w:t xml:space="preserve"> Рік побудови –19</w:t>
            </w:r>
            <w:r w:rsidR="00BC0C28">
              <w:t>20</w:t>
            </w:r>
            <w:r w:rsidR="005920DB">
              <w:t xml:space="preserve">. </w:t>
            </w:r>
            <w:r w:rsidR="00444BA5" w:rsidRPr="002D4443">
              <w:t xml:space="preserve">Вхід в приміщення </w:t>
            </w:r>
            <w:r w:rsidR="002D4443" w:rsidRPr="002D4443">
              <w:t>здійснюється</w:t>
            </w:r>
            <w:r w:rsidR="002D4443">
              <w:t xml:space="preserve"> через приміщення, які знаходяться у приватній власності. </w:t>
            </w:r>
            <w:r w:rsidR="00444BA5" w:rsidRPr="002F2032">
              <w:t xml:space="preserve"> Планування приміщень відповідає технічному плану</w:t>
            </w:r>
            <w:r w:rsidR="001F4D84" w:rsidRPr="002F2032">
              <w:t>. Ф</w:t>
            </w:r>
            <w:r w:rsidR="00444BA5" w:rsidRPr="002F2032">
              <w:t>ундамент</w:t>
            </w:r>
            <w:r w:rsidR="00C711CD">
              <w:t>, стіни</w:t>
            </w:r>
            <w:r w:rsidR="00444BA5" w:rsidRPr="002F2032">
              <w:t xml:space="preserve"> </w:t>
            </w:r>
            <w:r w:rsidR="001F4D84" w:rsidRPr="002F2032">
              <w:t>–</w:t>
            </w:r>
            <w:r w:rsidR="00444BA5" w:rsidRPr="002F2032">
              <w:t xml:space="preserve"> </w:t>
            </w:r>
            <w:r w:rsidR="00C711CD">
              <w:t>цегляні</w:t>
            </w:r>
            <w:r w:rsidR="00444BA5">
              <w:t xml:space="preserve">, </w:t>
            </w:r>
            <w:r w:rsidR="00C711CD">
              <w:t>перекриття</w:t>
            </w:r>
            <w:r w:rsidR="009B105C" w:rsidRPr="002F2032">
              <w:t xml:space="preserve">– </w:t>
            </w:r>
            <w:r w:rsidR="00C711CD">
              <w:t xml:space="preserve"> залізобетонні</w:t>
            </w:r>
            <w:r w:rsidR="009B105C">
              <w:t xml:space="preserve"> та</w:t>
            </w:r>
            <w:r w:rsidR="00C711CD">
              <w:t xml:space="preserve"> дерев’яні, </w:t>
            </w:r>
            <w:r w:rsidR="00EC3C9E">
              <w:t xml:space="preserve">підлога </w:t>
            </w:r>
            <w:r w:rsidR="00EC3C9E" w:rsidRPr="002F2032">
              <w:t>–</w:t>
            </w:r>
            <w:r w:rsidR="00EC3C9E">
              <w:t xml:space="preserve"> бетонна,</w:t>
            </w:r>
            <w:r w:rsidR="00C711CD">
              <w:t xml:space="preserve"> оздоблена керамічною плиткою, лінолеумом</w:t>
            </w:r>
            <w:r w:rsidR="00EC3C9E">
              <w:t>.</w:t>
            </w:r>
            <w:bookmarkStart w:id="1" w:name="_Hlk6389308"/>
          </w:p>
          <w:p w:rsidR="002F2032" w:rsidRDefault="000D74E1" w:rsidP="002F2032">
            <w:pPr>
              <w:pStyle w:val="a8"/>
              <w:ind w:firstLine="567"/>
            </w:pPr>
            <w:r>
              <w:t>Технічний стан п</w:t>
            </w:r>
            <w:r w:rsidR="00552E04">
              <w:t>риміщен</w:t>
            </w:r>
            <w:r>
              <w:t xml:space="preserve">ь </w:t>
            </w:r>
            <w:r w:rsidR="002D4443">
              <w:t>задовільн</w:t>
            </w:r>
            <w:r>
              <w:t>ий.</w:t>
            </w:r>
            <w:r w:rsidR="00F618D3" w:rsidRPr="00BF5B5A">
              <w:t xml:space="preserve"> </w:t>
            </w:r>
            <w:r w:rsidR="00F12162">
              <w:t>Е</w:t>
            </w:r>
            <w:r w:rsidR="00AF5CAD">
              <w:t>лектропостачання</w:t>
            </w:r>
            <w:r w:rsidR="00F12162">
              <w:t xml:space="preserve">, </w:t>
            </w:r>
            <w:r w:rsidR="00552E04">
              <w:t>водопостачання</w:t>
            </w:r>
            <w:r w:rsidR="00EC3C9E">
              <w:t xml:space="preserve">, </w:t>
            </w:r>
            <w:r w:rsidR="00F618D3" w:rsidRPr="00F0116C">
              <w:t>водовідведення</w:t>
            </w:r>
            <w:r w:rsidR="00EC3C9E">
              <w:t xml:space="preserve"> </w:t>
            </w:r>
            <w:r w:rsidR="002F2032">
              <w:t>знаход</w:t>
            </w:r>
            <w:r w:rsidR="00EC3C9E">
              <w:t>я</w:t>
            </w:r>
            <w:r w:rsidR="002F2032">
              <w:t>ться в робочому стані</w:t>
            </w:r>
            <w:bookmarkStart w:id="2" w:name="_Hlk6389391"/>
            <w:bookmarkEnd w:id="1"/>
            <w:r w:rsidR="002F2032">
              <w:t xml:space="preserve">. </w:t>
            </w:r>
            <w:r w:rsidR="002D4443">
              <w:t>Опалення відсутнє.</w:t>
            </w:r>
          </w:p>
          <w:p w:rsidR="00853680" w:rsidRPr="00247C52" w:rsidRDefault="00184E9A" w:rsidP="002F2032">
            <w:pPr>
              <w:pStyle w:val="a8"/>
              <w:ind w:firstLine="567"/>
            </w:pPr>
            <w:r w:rsidRPr="00247C52">
              <w:t>Право власності зареєстровано</w:t>
            </w:r>
            <w:r>
              <w:t>. Ре</w:t>
            </w:r>
            <w:r w:rsidRPr="00247C52">
              <w:t xml:space="preserve">єстраційний номер </w:t>
            </w:r>
            <w:r>
              <w:t xml:space="preserve">об’єкта нерухомого майна </w:t>
            </w:r>
            <w:r w:rsidR="00C95A91">
              <w:t>1057428</w:t>
            </w:r>
            <w:r w:rsidR="00247C52">
              <w:t>63101</w:t>
            </w:r>
            <w:r w:rsidR="00853680" w:rsidRPr="00247C52">
              <w:t>.</w:t>
            </w:r>
            <w:bookmarkEnd w:id="2"/>
          </w:p>
        </w:tc>
      </w:tr>
      <w:tr w:rsidR="00853680" w:rsidRPr="000446AE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1.2. інформація про договори оренди, укладені щодо об’єкта або його частини, із зазначенням за кожним таким договором найменування орендаря, орендованої площі, розміру місячної орендної плати, строку дії договору оренди</w:t>
            </w:r>
          </w:p>
        </w:tc>
        <w:tc>
          <w:tcPr>
            <w:tcW w:w="9000" w:type="dxa"/>
          </w:tcPr>
          <w:p w:rsidR="00853680" w:rsidRPr="00492382" w:rsidRDefault="00F7520D" w:rsidP="00F7520D">
            <w:pPr>
              <w:pStyle w:val="a8"/>
              <w:ind w:firstLine="340"/>
              <w:rPr>
                <w:color w:val="000000"/>
              </w:rPr>
            </w:pPr>
            <w:r w:rsidRPr="00E93F91">
              <w:rPr>
                <w:color w:val="000000"/>
              </w:rPr>
              <w:t>Зазначені нежитлові приміщення є вільними, в оренду не передані.</w:t>
            </w:r>
          </w:p>
        </w:tc>
      </w:tr>
      <w:tr w:rsidR="00833EBF" w:rsidRPr="00492382" w:rsidTr="00833EBF">
        <w:trPr>
          <w:cantSplit/>
        </w:trPr>
        <w:tc>
          <w:tcPr>
            <w:tcW w:w="6451" w:type="dxa"/>
          </w:tcPr>
          <w:p w:rsidR="00833EBF" w:rsidRPr="00492382" w:rsidRDefault="00833EBF" w:rsidP="00833EBF">
            <w:pPr>
              <w:pStyle w:val="a4"/>
              <w:spacing w:after="150" w:line="240" w:lineRule="auto"/>
              <w:ind w:left="34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1.3. інформацію про балансоутримувача (найменування, його місцезнаходження і контактні дані)</w:t>
            </w:r>
          </w:p>
        </w:tc>
        <w:tc>
          <w:tcPr>
            <w:tcW w:w="9000" w:type="dxa"/>
          </w:tcPr>
          <w:p w:rsidR="00833EBF" w:rsidRPr="00AC206D" w:rsidRDefault="00AC206D" w:rsidP="000D797F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Комунальне підприємство «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Жилкомсервіс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», код ЄДРПОУ 34467793, адреса: 61052, м. Харків, вул. Конторська, буд. 35. Контактні дані: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8" w:history="1"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vpfv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.10@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gmail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Pr="00492382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853680" w:rsidRPr="00492382" w:rsidTr="00833EBF">
        <w:trPr>
          <w:cantSplit/>
          <w:trHeight w:val="774"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1.4. план об’єкта приватизації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 наявності копія технічного паспорту, виготовленого станом на </w:t>
            </w:r>
            <w:r w:rsidR="00FF5E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24.04</w:t>
            </w:r>
            <w:r w:rsid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.20</w:t>
            </w:r>
            <w:r w:rsidR="00FF5EA8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14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1.5. фотографічне зображення об’єкта (у разі прийняття рішення органом приватизації)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 наявності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2. інформація про аукціон: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2.1.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 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спосіб, дата та час проведення аукціону: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="00A0072E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без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умов:</w:t>
            </w:r>
            <w:r w:rsidR="001D11D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A520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24.12.</w:t>
            </w:r>
            <w:r w:rsidRPr="00D0131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2019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(</w:t>
            </w:r>
            <w:r w:rsidR="00A520A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двадцять четвертого грудня </w:t>
            </w:r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дві тисячі </w:t>
            </w:r>
            <w:proofErr w:type="spellStart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дев</w:t>
            </w:r>
            <w:proofErr w:type="spellEnd"/>
            <w:r w:rsidR="001D11D6" w:rsidRP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ятнадцятого</w:t>
            </w:r>
            <w:proofErr w:type="spellEnd"/>
            <w:r w:rsidR="001D11D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року</w:t>
            </w:r>
            <w:r w:rsidR="00611495" w:rsidRPr="002D68C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)</w:t>
            </w:r>
            <w:r w:rsidRPr="002D68C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Період між аукціоном з умовами та аукціоном із зниженням стартової ціни, аукціоном із зниженням стартової ціни та аукціоном за методом покрокового зниження стартової ціни та подальшого подання цінових пропозицій </w:t>
            </w:r>
            <w:r w:rsidRPr="0011513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складає </w:t>
            </w:r>
            <w:r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  <w:r w:rsidR="005E6D1F" w:rsidRPr="00A7236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календарних днів від дати опублікування інформаційного повідомлення електронною торговою системою про приватизацію об’єкта малої приватизації. Година о котрій починається аукціон, встановлюється ЕТС для кожного електронного аукціону окремо в проміжку часу з 9-00 до 18-00 години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2.2. кінцевий строк подання заяви на участь в електронному аукціоні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 умовами, аукціоні із зниженням стартової ціни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  <w:p w:rsidR="00853680" w:rsidRPr="00492382" w:rsidRDefault="00853680" w:rsidP="00492382">
            <w:pPr>
              <w:spacing w:after="150" w:line="240" w:lineRule="auto"/>
              <w:jc w:val="both"/>
              <w:rPr>
                <w:color w:val="000000"/>
                <w:lang w:val="uk-UA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Кінцевий строк подання заяви на участь в електронному аукціоні за методом покрокового зниження стартової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ціни та подальшого подання цінових пропозицій встановлюється електронною торговою системою з 16 години 15 хвилин до 16 години 45 хвилин дня проведення електронного аукціону.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3. інформація про умови, на яких здійснюється приватизація об’єкта:</w:t>
            </w: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 w:val="restart"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3.1. стартова ціна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об’єкта для кожного із способів приватизації:</w:t>
            </w:r>
          </w:p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853680" w:rsidRPr="00455D31" w:rsidRDefault="00853680" w:rsidP="00492382">
            <w:pPr>
              <w:pStyle w:val="a8"/>
              <w:ind w:left="720" w:firstLine="0"/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left="31" w:firstLine="0"/>
              <w:rPr>
                <w:color w:val="000000"/>
              </w:rPr>
            </w:pPr>
            <w:r w:rsidRPr="00455D31">
              <w:t xml:space="preserve">Аукціон </w:t>
            </w:r>
            <w:r w:rsidR="00A72365">
              <w:t>без умов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</w:t>
            </w:r>
            <w:r w:rsidR="00371A28">
              <w:rPr>
                <w:color w:val="000000"/>
              </w:rPr>
              <w:t>72</w:t>
            </w:r>
            <w:r w:rsidR="00DD74C2">
              <w:rPr>
                <w:color w:val="000000"/>
              </w:rPr>
              <w:t> </w:t>
            </w:r>
            <w:r w:rsidR="00371A28">
              <w:rPr>
                <w:color w:val="000000"/>
              </w:rPr>
              <w:t>233</w:t>
            </w:r>
            <w:r w:rsidR="00DD74C2">
              <w:rPr>
                <w:color w:val="000000"/>
              </w:rPr>
              <w:t xml:space="preserve">,00 </w:t>
            </w:r>
            <w:r w:rsidRPr="00492382">
              <w:rPr>
                <w:color w:val="000000"/>
              </w:rPr>
              <w:t>грн. без ПДВ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color w:val="000000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492382">
              <w:rPr>
                <w:color w:val="000000"/>
              </w:rPr>
              <w:t>–</w:t>
            </w:r>
            <w:r w:rsidR="00DD74C2">
              <w:rPr>
                <w:color w:val="000000"/>
              </w:rPr>
              <w:t xml:space="preserve"> 3</w:t>
            </w:r>
            <w:r w:rsidR="006702FA">
              <w:rPr>
                <w:color w:val="000000"/>
              </w:rPr>
              <w:t>6</w:t>
            </w:r>
            <w:r w:rsidR="00DD74C2">
              <w:rPr>
                <w:color w:val="000000"/>
              </w:rPr>
              <w:t> 1</w:t>
            </w:r>
            <w:r w:rsidR="006702FA">
              <w:rPr>
                <w:color w:val="000000"/>
              </w:rPr>
              <w:t>16</w:t>
            </w:r>
            <w:r w:rsidR="00DD74C2">
              <w:rPr>
                <w:color w:val="000000"/>
              </w:rPr>
              <w:t xml:space="preserve">,50 </w:t>
            </w:r>
            <w:r w:rsidRPr="00492382">
              <w:rPr>
                <w:color w:val="000000"/>
              </w:rPr>
              <w:t>грн. без ПДВ.</w:t>
            </w:r>
          </w:p>
        </w:tc>
      </w:tr>
      <w:tr w:rsidR="00853680" w:rsidRPr="00492382" w:rsidTr="00833EBF">
        <w:trPr>
          <w:cantSplit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eastAsia="ru-RU"/>
              </w:rPr>
            </w:pPr>
          </w:p>
        </w:tc>
        <w:tc>
          <w:tcPr>
            <w:tcW w:w="9000" w:type="dxa"/>
          </w:tcPr>
          <w:p w:rsidR="00853680" w:rsidRPr="00455D31" w:rsidRDefault="00853680" w:rsidP="00492382">
            <w:pPr>
              <w:pStyle w:val="a8"/>
              <w:ind w:firstLine="0"/>
            </w:pPr>
            <w:r w:rsidRPr="00455D31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492382">
              <w:rPr>
                <w:color w:val="000000"/>
              </w:rPr>
              <w:t xml:space="preserve">– </w:t>
            </w:r>
            <w:r w:rsidR="001445A8">
              <w:rPr>
                <w:color w:val="000000"/>
                <w:lang w:val="ru-RU"/>
              </w:rPr>
              <w:t xml:space="preserve"> </w:t>
            </w:r>
            <w:r w:rsidR="006702FA">
              <w:rPr>
                <w:color w:val="000000"/>
              </w:rPr>
              <w:t xml:space="preserve">36 116,50 </w:t>
            </w:r>
            <w:r w:rsidR="00DD74C2" w:rsidRPr="00492382">
              <w:rPr>
                <w:color w:val="000000"/>
              </w:rPr>
              <w:t xml:space="preserve">грн. </w:t>
            </w:r>
            <w:r w:rsidR="006279C9" w:rsidRPr="00492382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без ПДВ.</w:t>
            </w:r>
          </w:p>
        </w:tc>
      </w:tr>
      <w:tr w:rsidR="00853680" w:rsidRPr="00492382" w:rsidTr="00833EBF">
        <w:trPr>
          <w:cantSplit/>
          <w:trHeight w:val="722"/>
        </w:trPr>
        <w:tc>
          <w:tcPr>
            <w:tcW w:w="6451" w:type="dxa"/>
            <w:vMerge w:val="restart"/>
          </w:tcPr>
          <w:p w:rsidR="00853680" w:rsidRDefault="00853680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3.2. розмір гарантійного внеску електронного аукціону для кожного із способів продажу </w:t>
            </w:r>
          </w:p>
          <w:p w:rsidR="00E603FA" w:rsidRPr="00492382" w:rsidRDefault="00E603FA" w:rsidP="00833EBF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31"/>
              <w:rPr>
                <w:color w:val="000000"/>
              </w:rPr>
            </w:pPr>
            <w:r w:rsidRPr="00455D31">
              <w:t xml:space="preserve">Аукціон </w:t>
            </w:r>
            <w:r w:rsidR="00934122">
              <w:t>без умов</w:t>
            </w:r>
            <w:r>
              <w:t xml:space="preserve"> </w:t>
            </w:r>
            <w:r w:rsidRPr="0011513F">
              <w:t xml:space="preserve">– </w:t>
            </w:r>
            <w:r w:rsidR="009708A7">
              <w:t>7 2</w:t>
            </w:r>
            <w:r w:rsidR="006702FA">
              <w:t>23</w:t>
            </w:r>
            <w:r w:rsidR="009708A7">
              <w:t>,</w:t>
            </w:r>
            <w:r w:rsidR="006702FA">
              <w:t>3</w:t>
            </w:r>
            <w:r w:rsidR="009708A7">
              <w:t>0</w:t>
            </w:r>
            <w:r w:rsidRPr="0011513F">
              <w:t xml:space="preserve"> грн</w:t>
            </w:r>
            <w:r w:rsidRPr="009A48BF">
              <w:t xml:space="preserve">.  </w:t>
            </w:r>
          </w:p>
        </w:tc>
      </w:tr>
      <w:tr w:rsidR="00853680" w:rsidRPr="00492382" w:rsidTr="00833EBF">
        <w:trPr>
          <w:cantSplit/>
          <w:trHeight w:val="421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833EBF">
            <w:pPr>
              <w:pStyle w:val="a8"/>
              <w:ind w:firstLine="31"/>
              <w:rPr>
                <w:lang w:val="ru-RU"/>
              </w:rPr>
            </w:pPr>
            <w:r w:rsidRPr="00455D31">
              <w:t>Аукціон із зниженням стартової ціни</w:t>
            </w:r>
            <w:r>
              <w:t xml:space="preserve"> </w:t>
            </w:r>
            <w:r w:rsidRPr="00DD5655">
              <w:t>–</w:t>
            </w:r>
            <w:r w:rsidR="009708A7">
              <w:t>3 </w:t>
            </w:r>
            <w:r w:rsidR="006702FA">
              <w:t>61</w:t>
            </w:r>
            <w:r w:rsidR="009708A7">
              <w:t>1,</w:t>
            </w:r>
            <w:r w:rsidR="006702FA">
              <w:t>6</w:t>
            </w:r>
            <w:r w:rsidR="009708A7">
              <w:t>5</w:t>
            </w:r>
            <w:r w:rsidR="008802F2">
              <w:rPr>
                <w:color w:val="000000"/>
                <w:lang w:val="ru-RU"/>
              </w:rPr>
              <w:t xml:space="preserve"> </w:t>
            </w:r>
            <w:r w:rsidRPr="00492382">
              <w:rPr>
                <w:color w:val="000000"/>
                <w:lang w:val="ru-RU"/>
              </w:rPr>
              <w:t>грн.</w:t>
            </w:r>
          </w:p>
        </w:tc>
      </w:tr>
      <w:tr w:rsidR="00853680" w:rsidRPr="00492382" w:rsidTr="00833EBF">
        <w:trPr>
          <w:cantSplit/>
          <w:trHeight w:val="697"/>
        </w:trPr>
        <w:tc>
          <w:tcPr>
            <w:tcW w:w="6451" w:type="dxa"/>
            <w:vMerge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pStyle w:val="a8"/>
              <w:ind w:firstLine="0"/>
              <w:rPr>
                <w:lang w:val="ru-RU"/>
              </w:rPr>
            </w:pPr>
            <w:r w:rsidRPr="00DD5655">
              <w:t>Аукціон за методом покрокового зниження стартової ціни та подальшого подання цінових пропозицій</w:t>
            </w:r>
            <w:r>
              <w:t xml:space="preserve"> </w:t>
            </w:r>
            <w:r w:rsidRPr="0011513F">
              <w:t xml:space="preserve">– </w:t>
            </w:r>
            <w:r w:rsidR="006702FA">
              <w:t>3 611,65</w:t>
            </w:r>
            <w:r w:rsidR="006702FA">
              <w:rPr>
                <w:color w:val="000000"/>
                <w:lang w:val="ru-RU"/>
              </w:rPr>
              <w:t xml:space="preserve"> </w:t>
            </w:r>
            <w:r w:rsidRPr="0011513F">
              <w:rPr>
                <w:color w:val="000000"/>
                <w:lang w:val="ru-RU"/>
              </w:rPr>
              <w:t>грн</w:t>
            </w:r>
            <w:r w:rsidRPr="00492382">
              <w:rPr>
                <w:color w:val="000000"/>
                <w:lang w:val="ru-RU"/>
              </w:rPr>
              <w:t>.</w:t>
            </w:r>
          </w:p>
        </w:tc>
      </w:tr>
      <w:tr w:rsidR="00853680" w:rsidRPr="00492382" w:rsidTr="00833EBF">
        <w:trPr>
          <w:cantSplit/>
          <w:trHeight w:val="1175"/>
        </w:trPr>
        <w:tc>
          <w:tcPr>
            <w:tcW w:w="6451" w:type="dxa"/>
          </w:tcPr>
          <w:p w:rsidR="00853680" w:rsidRPr="00492382" w:rsidRDefault="00853680" w:rsidP="00492382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3.3. розмір реєстраційного внеску</w:t>
            </w:r>
          </w:p>
          <w:p w:rsidR="00853680" w:rsidRPr="00492382" w:rsidRDefault="00853680" w:rsidP="00C51A4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9000" w:type="dxa"/>
          </w:tcPr>
          <w:p w:rsidR="00853680" w:rsidRPr="00492382" w:rsidRDefault="00853680" w:rsidP="0049238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834,6</w:t>
            </w:r>
            <w:r w:rsidR="00E72116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грн.</w:t>
            </w:r>
          </w:p>
        </w:tc>
      </w:tr>
      <w:tr w:rsidR="00751D3A" w:rsidRPr="00492382" w:rsidTr="00A4538C">
        <w:trPr>
          <w:cantSplit/>
          <w:trHeight w:val="1448"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bookmarkStart w:id="3" w:name="n102"/>
            <w:bookmarkEnd w:id="3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. умови продажу об’єкта </w:t>
            </w:r>
          </w:p>
        </w:tc>
        <w:tc>
          <w:tcPr>
            <w:tcW w:w="9000" w:type="dxa"/>
          </w:tcPr>
          <w:p w:rsidR="00751D3A" w:rsidRPr="00751D3A" w:rsidRDefault="00751D3A" w:rsidP="00751D3A">
            <w:pPr>
              <w:pStyle w:val="a8"/>
              <w:ind w:firstLine="0"/>
            </w:pPr>
            <w:r w:rsidRPr="00751D3A">
              <w:t xml:space="preserve">При укладанні договору купівлі </w:t>
            </w:r>
            <w:r w:rsidRPr="00751D3A">
              <w:softHyphen/>
              <w:t xml:space="preserve">продажу об’єкта приватизації з покупцем на ціну продажу об’єкта нараховується ПДВ (податок на додану вартість) у розмірі 20 (двадцяти) відсотків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4. додаткова інформація: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247C52" w:rsidTr="00833EBF">
        <w:trPr>
          <w:cantSplit/>
        </w:trPr>
        <w:tc>
          <w:tcPr>
            <w:tcW w:w="6451" w:type="dxa"/>
          </w:tcPr>
          <w:p w:rsidR="00751D3A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1456E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4.1. найменування установи (банку, казначейства) місцезнаходження та номери рахунків, відкритих для внесення гарантійних внесків, реєстраційних внесків та проведення розрахунків за придбані об’єкти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A57833" w:rsidRPr="00A57833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lang w:val="uk-UA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Д</w:t>
            </w:r>
            <w:r w:rsidRPr="00833EBF">
              <w:rPr>
                <w:rFonts w:ascii="Times New Roman" w:hAnsi="Times New Roman"/>
                <w:color w:val="000000"/>
                <w:sz w:val="27"/>
                <w:szCs w:val="27"/>
                <w:lang w:val="uk-UA"/>
              </w:rPr>
              <w:t>ля перерахування електронним майданчиком реєстраційних внесків учасників аукціону</w:t>
            </w:r>
          </w:p>
          <w:p w:rsidR="00F60167" w:rsidRDefault="00F60167" w:rsidP="00401A5C">
            <w:pPr>
              <w:pStyle w:val="a8"/>
              <w:ind w:firstLine="0"/>
            </w:pPr>
            <w:r>
              <w:t>Одержувач – УДСКУ у м. Харкові Харківської області</w:t>
            </w:r>
          </w:p>
          <w:p w:rsidR="00F60167" w:rsidRPr="00401A5C" w:rsidRDefault="00F60167" w:rsidP="00401A5C">
            <w:pPr>
              <w:pStyle w:val="a8"/>
              <w:ind w:firstLine="0"/>
            </w:pPr>
            <w:r>
              <w:t>Номер рахунку (</w:t>
            </w:r>
            <w:r w:rsidRPr="00401A5C">
              <w:t>IBAN</w:t>
            </w:r>
            <w:r w:rsidRPr="00311F79">
              <w:t>)</w:t>
            </w:r>
            <w:r>
              <w:t xml:space="preserve">: </w:t>
            </w:r>
            <w:r w:rsidRPr="00401A5C">
              <w:t xml:space="preserve"> UA458999980000031512905020002</w:t>
            </w:r>
          </w:p>
          <w:p w:rsidR="00F60167" w:rsidRDefault="00F60167" w:rsidP="00401A5C">
            <w:pPr>
              <w:pStyle w:val="a8"/>
              <w:ind w:firstLine="0"/>
            </w:pPr>
            <w:r>
              <w:t>Банк одержувача – Казначейство України (ЕАП)</w:t>
            </w:r>
          </w:p>
          <w:p w:rsidR="00F60167" w:rsidRDefault="00F60167" w:rsidP="00401A5C">
            <w:pPr>
              <w:pStyle w:val="a8"/>
              <w:ind w:firstLine="0"/>
            </w:pPr>
            <w:r>
              <w:t>Код ЄДРПОУ – 37999649</w:t>
            </w:r>
          </w:p>
          <w:p w:rsidR="00F60167" w:rsidRDefault="00F60167" w:rsidP="00401A5C">
            <w:pPr>
              <w:pStyle w:val="a8"/>
              <w:ind w:firstLine="0"/>
            </w:pPr>
            <w:r>
              <w:t>Код класифікації доходів бюджету – 31030000.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Одержувач: Управління комунального майна та приватизації Департаменту економіки та комунального майна Харківської міської ради. Рахунок № 37326043033770 (для перерахування електронним майданчиком: гарантійного внеску переможця аукціону, який не відповідає вимогам ст. 8 Закону, не подав документи або відомості, обов’язкове подання яких передбачено Законом, подав неправдиві відомості про себе, відмовився від підписання протоколу аукціону або договору купівлі-продажу).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Банк одержувача: 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A57833" w:rsidRPr="00A57833" w:rsidRDefault="00A57833" w:rsidP="00A57833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Одержувач: Управління комунального майна та приватизації Департаменту економіки та комунального майна Харківської міської ради. Рахунок №37188043033770 (для перерахування гарантійного внеску переможця аукціону, перерахування електронним майданчиком пені (якщо така дія настала), проведення переможцем аукціону розрахунків за придбаний об’єкт). Банк одержувача: </w:t>
            </w:r>
            <w:proofErr w:type="spellStart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Держказначейська</w:t>
            </w:r>
            <w:proofErr w:type="spellEnd"/>
            <w:r w:rsidRPr="00A57833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служба України, м. Київ, МФО 820172. Код ЄДРПОУ 14095412.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Інформація про валютні рахунки (</w:t>
            </w:r>
            <w:proofErr w:type="spellStart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>сканкопія</w:t>
            </w:r>
            <w:proofErr w:type="spellEnd"/>
            <w:r w:rsidRPr="00401A5C"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  <w:t xml:space="preserve"> реквізитів додається).</w:t>
            </w:r>
          </w:p>
          <w:p w:rsidR="00751D3A" w:rsidRPr="00401A5C" w:rsidRDefault="00751D3A" w:rsidP="00401A5C">
            <w:pPr>
              <w:pStyle w:val="3"/>
              <w:shd w:val="clear" w:color="auto" w:fill="auto"/>
              <w:tabs>
                <w:tab w:val="left" w:pos="720"/>
              </w:tabs>
              <w:spacing w:before="0" w:after="0" w:line="240" w:lineRule="auto"/>
              <w:rPr>
                <w:rFonts w:ascii="Times New Roman" w:eastAsia="Times New Roman" w:hAnsi="Times New Roman" w:cs="Times New Roman"/>
                <w:spacing w:val="0"/>
                <w:sz w:val="28"/>
                <w:szCs w:val="28"/>
                <w:lang w:val="uk-UA"/>
              </w:rPr>
            </w:pPr>
          </w:p>
        </w:tc>
      </w:tr>
      <w:tr w:rsidR="00751D3A" w:rsidRPr="00A4538C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 xml:space="preserve">4.2. реквізити рахунків операторів електронних майданчиків, відкритих для сплати потенційними покупцями гарантійних та реєстраційних внесків (зазначаються в інформаційному повідомленні шляхом розміщення посилання на сторінку офіційного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веб-сайта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адміністратора, на якій зазначені реквізити таких рахунків)</w:t>
            </w:r>
          </w:p>
        </w:tc>
        <w:tc>
          <w:tcPr>
            <w:tcW w:w="9000" w:type="dxa"/>
          </w:tcPr>
          <w:p w:rsidR="00751D3A" w:rsidRPr="00492382" w:rsidRDefault="003B6B18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hyperlink r:id="rId9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uk-UA" w:eastAsia="ru-RU"/>
                </w:rPr>
                <w:t>https://prozorro.sale/info/elektronni-majdanchiki-ets-prozorroprodazhi-cbd2</w:t>
              </w:r>
            </w:hyperlink>
            <w:r w:rsidR="00751D3A" w:rsidRPr="00492382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4.3. найменування особи організатора аукціону, його місцезнаходження, адреса веб-сайту, номер телефону, час роботи служби з організації аукціону (прізвище, ім’я, по батькові контактної особи організатора аукціону, яка є відповідальною за забезпечення можливості огляду об’єкта, номер телефону, адреса електронної пошти)</w:t>
            </w:r>
          </w:p>
        </w:tc>
        <w:tc>
          <w:tcPr>
            <w:tcW w:w="9000" w:type="dxa"/>
          </w:tcPr>
          <w:p w:rsidR="00751D3A" w:rsidRPr="00A4538C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Управління комунального майна та приватизації Департаменту економіки та комунального майна Харківської міської ради, код за ЄДРПОУ 14095412, адреса: 61003, м. Харків, майдан Конституції, буд.16; тел. (057)725-25-29; часи роботи: Пн-Чт з 9-00 до 18-00, Пт з 9-00 до 16-45. Контактна особа: 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Замніус</w:t>
            </w:r>
            <w:proofErr w:type="spellEnd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Марина Василівна, контактний телефон +38(057)725 25 29,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адреса електронної пошти </w:t>
            </w:r>
            <w:hyperlink r:id="rId10" w:history="1"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vpfv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.10@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gmail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.</w:t>
              </w:r>
              <w:r w:rsidRPr="00C51A49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lang w:val="en-US" w:eastAsia="ru-RU"/>
                </w:rPr>
                <w:t>com</w:t>
              </w:r>
            </w:hyperlink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4.4. час і місце проведення огляду об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’</w:t>
            </w:r>
            <w:proofErr w:type="spellStart"/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єкта</w:t>
            </w:r>
            <w:proofErr w:type="spellEnd"/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Ознайомитися з об’єктом можна за місцем його розташування у робочі дні, попередньо узгодивши з Управління комунального майна та приватизації годину огляду за телефоном+38(057)725 25 29 у робочі дні з 10-00 до 17-00.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 w:eastAsia="ru-RU"/>
              </w:rPr>
              <w:t xml:space="preserve">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5. технічні реквізити інформаційного повідомлення:</w:t>
            </w: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751D3A" w:rsidRPr="00A4538C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5.1. дата і номер рішення органу приватизації про затвердження умов продажу об’єкта приватизації</w:t>
            </w:r>
          </w:p>
        </w:tc>
        <w:tc>
          <w:tcPr>
            <w:tcW w:w="9000" w:type="dxa"/>
          </w:tcPr>
          <w:p w:rsidR="00751D3A" w:rsidRPr="00492382" w:rsidRDefault="007338D3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Наказ Управління комунального майна та приватизації Департаменту економіки та комунального майна Харківської міської ради від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05.11.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2019 №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400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«</w:t>
            </w:r>
            <w:bookmarkStart w:id="4" w:name="_Hlk511746647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 затвердження протоколу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від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01.11.</w:t>
            </w:r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2019 засідання аукціонної комісії </w:t>
            </w:r>
            <w:bookmarkEnd w:id="4"/>
            <w:r w:rsidRPr="00C51A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для продажу об’єктів комунальної власності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територіальної громади м. Харкова, що підлягають приватизації шляхом продажу на аукціоні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на підставі рішення 30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сесії Харківської мі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ської ради 7 скликання від 16.10.2019 №1775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/19 «Про приватизацію об’єктів комунальної власності територіальної громади м. Харкова»</w:t>
            </w:r>
            <w:bookmarkStart w:id="5" w:name="_GoBack"/>
            <w:bookmarkEnd w:id="5"/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CF7C2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lastRenderedPageBreak/>
              <w:t>5.2. унікальний код, присвоєний об’єкту приватизації під час публікації переліку об’єктів, що підлягають приватизації, в електронній торговій системі</w:t>
            </w:r>
          </w:p>
        </w:tc>
        <w:tc>
          <w:tcPr>
            <w:tcW w:w="9000" w:type="dxa"/>
          </w:tcPr>
          <w:p w:rsidR="00751D3A" w:rsidRPr="00833EBF" w:rsidRDefault="00A11CAD" w:rsidP="00CF7C2A">
            <w:pPr>
              <w:pStyle w:val="a8"/>
              <w:ind w:firstLine="0"/>
              <w:rPr>
                <w:color w:val="000000"/>
              </w:rPr>
            </w:pPr>
            <w:r w:rsidRPr="00A11CAD">
              <w:rPr>
                <w:color w:val="000000"/>
              </w:rPr>
              <w:t>UA-AR-P-2019-10-17-000005-3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 w:val="restart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5.3. крок аукціону для кожного із способів продажу Мінімальний крок аукціону становить 1 відсоток стартової ціни лота </w:t>
            </w:r>
          </w:p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Аукціон </w:t>
            </w:r>
            <w:r w:rsidRPr="0093412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без умов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–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7</w:t>
            </w:r>
            <w:r w:rsidR="003443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22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,</w:t>
            </w:r>
            <w:r w:rsidR="003443A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33</w:t>
            </w:r>
            <w:r w:rsidR="00296155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грн.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із зниженням стартової ціни –</w:t>
            </w:r>
            <w:r w:rsidR="00296155">
              <w:rPr>
                <w:color w:val="000000"/>
              </w:rPr>
              <w:t>3</w:t>
            </w:r>
            <w:r w:rsidR="003443A4">
              <w:rPr>
                <w:color w:val="000000"/>
              </w:rPr>
              <w:t>61</w:t>
            </w:r>
            <w:r w:rsidR="00296155">
              <w:rPr>
                <w:color w:val="000000"/>
              </w:rPr>
              <w:t>,1</w:t>
            </w:r>
            <w:r w:rsidR="003443A4">
              <w:rPr>
                <w:color w:val="000000"/>
              </w:rPr>
              <w:t>7</w:t>
            </w:r>
            <w:r w:rsidR="006D3210">
              <w:rPr>
                <w:color w:val="000000"/>
              </w:rPr>
              <w:t xml:space="preserve"> </w:t>
            </w:r>
            <w:r w:rsidRPr="00492382">
              <w:rPr>
                <w:color w:val="000000"/>
              </w:rPr>
              <w:t>грн.</w:t>
            </w:r>
          </w:p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</w:p>
        </w:tc>
      </w:tr>
      <w:tr w:rsidR="00751D3A" w:rsidRPr="00492382" w:rsidTr="00833EBF">
        <w:trPr>
          <w:cantSplit/>
        </w:trPr>
        <w:tc>
          <w:tcPr>
            <w:tcW w:w="6451" w:type="dxa"/>
            <w:vMerge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9000" w:type="dxa"/>
          </w:tcPr>
          <w:p w:rsidR="00751D3A" w:rsidRPr="00492382" w:rsidRDefault="00751D3A" w:rsidP="00751D3A">
            <w:pPr>
              <w:pStyle w:val="a8"/>
              <w:ind w:firstLine="0"/>
              <w:rPr>
                <w:color w:val="000000"/>
              </w:rPr>
            </w:pPr>
            <w:r w:rsidRPr="00492382">
              <w:rPr>
                <w:color w:val="000000"/>
              </w:rPr>
              <w:t>Аукціон за методом покрокового зниження стартової ціни та подальшого подання цінових пропозицій –</w:t>
            </w:r>
            <w:r w:rsidR="006D3210">
              <w:rPr>
                <w:color w:val="000000"/>
              </w:rPr>
              <w:t xml:space="preserve"> </w:t>
            </w:r>
            <w:r w:rsidR="003443A4">
              <w:rPr>
                <w:color w:val="000000"/>
              </w:rPr>
              <w:t xml:space="preserve">361,17 </w:t>
            </w:r>
            <w:r w:rsidRPr="00492382">
              <w:rPr>
                <w:color w:val="000000"/>
              </w:rPr>
              <w:t xml:space="preserve">грн. </w:t>
            </w:r>
          </w:p>
        </w:tc>
      </w:tr>
      <w:tr w:rsidR="00751D3A" w:rsidRPr="00492382" w:rsidTr="00833EBF">
        <w:trPr>
          <w:cantSplit/>
        </w:trPr>
        <w:tc>
          <w:tcPr>
            <w:tcW w:w="6451" w:type="dxa"/>
          </w:tcPr>
          <w:p w:rsidR="00751D3A" w:rsidRPr="00492382" w:rsidRDefault="00751D3A" w:rsidP="005C30C2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5.4. встановлена органами приватизації територіальних громад кількість кроків аукціону за методом покрокового зниження стартової ціни та подальшого подання цінових пропозицій </w:t>
            </w:r>
          </w:p>
        </w:tc>
        <w:tc>
          <w:tcPr>
            <w:tcW w:w="9000" w:type="dxa"/>
          </w:tcPr>
          <w:p w:rsidR="00751D3A" w:rsidRPr="00B817AE" w:rsidRDefault="00C042C2" w:rsidP="00751D3A">
            <w:pPr>
              <w:shd w:val="clear" w:color="auto" w:fill="FFFFFF"/>
              <w:spacing w:after="150" w:line="240" w:lineRule="auto"/>
              <w:ind w:firstLine="4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green"/>
                <w:lang w:val="uk-UA" w:eastAsia="ru-RU"/>
              </w:rPr>
            </w:pPr>
            <w:r w:rsidRPr="00C042C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</w:tr>
      <w:tr w:rsidR="00751D3A" w:rsidRPr="00A4538C" w:rsidTr="00833EBF">
        <w:trPr>
          <w:cantSplit/>
        </w:trPr>
        <w:tc>
          <w:tcPr>
            <w:tcW w:w="6451" w:type="dxa"/>
          </w:tcPr>
          <w:p w:rsidR="00751D3A" w:rsidRPr="00492382" w:rsidRDefault="00751D3A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9238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5.5. єдине посилання на веб-сторінку адміністратора, на якій є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 (оператори зазначаються в алфавітному порядку)</w:t>
            </w:r>
          </w:p>
        </w:tc>
        <w:tc>
          <w:tcPr>
            <w:tcW w:w="9000" w:type="dxa"/>
          </w:tcPr>
          <w:p w:rsidR="00751D3A" w:rsidRPr="00492382" w:rsidRDefault="003B6B18" w:rsidP="00751D3A">
            <w:pPr>
              <w:spacing w:after="15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hyperlink r:id="rId11" w:history="1">
              <w:r w:rsidR="00751D3A" w:rsidRPr="00492382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  <w:lang w:val="uk-UA" w:eastAsia="ru-RU"/>
                </w:rPr>
                <w:t>https://prozorro.sale/info/elektronni-majdanchiki-ets-prozorroprodazhi-cbd2</w:t>
              </w:r>
            </w:hyperlink>
          </w:p>
        </w:tc>
      </w:tr>
      <w:tr w:rsidR="00751D3A" w:rsidRPr="00492382" w:rsidTr="00833EBF">
        <w:trPr>
          <w:cantSplit/>
          <w:trHeight w:val="275"/>
        </w:trPr>
        <w:tc>
          <w:tcPr>
            <w:tcW w:w="6451" w:type="dxa"/>
          </w:tcPr>
          <w:p w:rsidR="00751D3A" w:rsidRPr="003274B1" w:rsidRDefault="00751D3A" w:rsidP="00751D3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5.6. Проект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договор</w:t>
            </w:r>
            <w:r w:rsidR="00B8447A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купівлі-продажу</w:t>
            </w:r>
          </w:p>
        </w:tc>
        <w:tc>
          <w:tcPr>
            <w:tcW w:w="9000" w:type="dxa"/>
          </w:tcPr>
          <w:p w:rsidR="00751D3A" w:rsidRPr="00E130E8" w:rsidRDefault="00653BE3" w:rsidP="00780DEC">
            <w:pPr>
              <w:spacing w:after="0" w:line="240" w:lineRule="auto"/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Додається</w:t>
            </w:r>
          </w:p>
        </w:tc>
      </w:tr>
    </w:tbl>
    <w:p w:rsidR="00853680" w:rsidRPr="002203DA" w:rsidRDefault="00853680" w:rsidP="002203DA">
      <w:pPr>
        <w:shd w:val="clear" w:color="auto" w:fill="FFFFFF"/>
        <w:spacing w:after="150" w:line="240" w:lineRule="auto"/>
        <w:ind w:firstLine="450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6" w:name="n459"/>
      <w:bookmarkStart w:id="7" w:name="n460"/>
      <w:bookmarkStart w:id="8" w:name="n461"/>
      <w:bookmarkStart w:id="9" w:name="n462"/>
      <w:bookmarkStart w:id="10" w:name="n463"/>
      <w:bookmarkStart w:id="11" w:name="n464"/>
      <w:bookmarkStart w:id="12" w:name="n465"/>
      <w:bookmarkStart w:id="13" w:name="n466"/>
      <w:bookmarkStart w:id="14" w:name="n467"/>
      <w:bookmarkStart w:id="15" w:name="n468"/>
      <w:bookmarkStart w:id="16" w:name="n469"/>
      <w:bookmarkStart w:id="17" w:name="n470"/>
      <w:bookmarkStart w:id="18" w:name="n471"/>
      <w:bookmarkStart w:id="19" w:name="n472"/>
      <w:bookmarkStart w:id="20" w:name="n9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sectPr w:rsidR="00853680" w:rsidRPr="002203DA" w:rsidSect="00EE240E">
      <w:headerReference w:type="default" r:id="rId12"/>
      <w:headerReference w:type="first" r:id="rId13"/>
      <w:footerReference w:type="first" r:id="rId14"/>
      <w:pgSz w:w="16838" w:h="11906" w:orient="landscape"/>
      <w:pgMar w:top="709" w:right="536" w:bottom="426" w:left="1134" w:header="708" w:footer="3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4CAC" w:rsidRDefault="00264CAC" w:rsidP="00C3342C">
      <w:pPr>
        <w:spacing w:after="0" w:line="240" w:lineRule="auto"/>
      </w:pPr>
      <w:r>
        <w:separator/>
      </w:r>
    </w:p>
  </w:endnote>
  <w:end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EBF" w:rsidRDefault="00833EBF">
    <w:pPr>
      <w:pStyle w:val="ac"/>
      <w:jc w:val="right"/>
    </w:pPr>
  </w:p>
  <w:p w:rsidR="00833EBF" w:rsidRDefault="00833EB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4CAC" w:rsidRDefault="00264CAC" w:rsidP="00C3342C">
      <w:pPr>
        <w:spacing w:after="0" w:line="240" w:lineRule="auto"/>
      </w:pPr>
      <w:r>
        <w:separator/>
      </w:r>
    </w:p>
  </w:footnote>
  <w:footnote w:type="continuationSeparator" w:id="0">
    <w:p w:rsidR="00264CAC" w:rsidRDefault="00264CAC" w:rsidP="00C334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5796752"/>
      <w:docPartObj>
        <w:docPartGallery w:val="Page Numbers (Top of Page)"/>
        <w:docPartUnique/>
      </w:docPartObj>
    </w:sdtPr>
    <w:sdtContent>
      <w:p w:rsidR="00EE240E" w:rsidRDefault="003B6B18">
        <w:pPr>
          <w:pStyle w:val="aa"/>
          <w:jc w:val="right"/>
        </w:pPr>
        <w:r>
          <w:fldChar w:fldCharType="begin"/>
        </w:r>
        <w:r w:rsidR="00EE240E">
          <w:instrText>PAGE   \* MERGEFORMAT</w:instrText>
        </w:r>
        <w:r>
          <w:fldChar w:fldCharType="separate"/>
        </w:r>
        <w:r w:rsidR="00A4538C">
          <w:rPr>
            <w:noProof/>
          </w:rPr>
          <w:t>2</w:t>
        </w:r>
        <w:r>
          <w:fldChar w:fldCharType="end"/>
        </w:r>
      </w:p>
    </w:sdtContent>
  </w:sdt>
  <w:p w:rsidR="00F834D5" w:rsidRPr="00D52A59" w:rsidRDefault="00F834D5" w:rsidP="00D47950">
    <w:pPr>
      <w:pStyle w:val="aa"/>
      <w:ind w:firstLine="13467"/>
      <w:rPr>
        <w:lang w:val="uk-U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40E" w:rsidRDefault="00EE240E">
    <w:pPr>
      <w:pStyle w:val="aa"/>
      <w:jc w:val="right"/>
    </w:pPr>
  </w:p>
  <w:p w:rsidR="00EE240E" w:rsidRDefault="00EE240E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16FA"/>
    <w:multiLevelType w:val="hybridMultilevel"/>
    <w:tmpl w:val="78167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FD06F6"/>
    <w:multiLevelType w:val="hybridMultilevel"/>
    <w:tmpl w:val="AE06C0D4"/>
    <w:lvl w:ilvl="0" w:tplc="96FEF7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173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893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613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333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053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4773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493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213" w:hanging="360"/>
      </w:pPr>
      <w:rPr>
        <w:rFonts w:ascii="Wingdings" w:hAnsi="Wingdings" w:cs="Wingdings" w:hint="default"/>
      </w:rPr>
    </w:lvl>
  </w:abstractNum>
  <w:abstractNum w:abstractNumId="2">
    <w:nsid w:val="40B0553A"/>
    <w:multiLevelType w:val="hybridMultilevel"/>
    <w:tmpl w:val="BE26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E689C"/>
    <w:multiLevelType w:val="hybridMultilevel"/>
    <w:tmpl w:val="E9D8BC42"/>
    <w:lvl w:ilvl="0" w:tplc="1AD6FD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/>
  <w:rsids>
    <w:rsidRoot w:val="00A00A68"/>
    <w:rsid w:val="000036E2"/>
    <w:rsid w:val="00015CA0"/>
    <w:rsid w:val="00017AD5"/>
    <w:rsid w:val="0002322B"/>
    <w:rsid w:val="00025DAD"/>
    <w:rsid w:val="000275E9"/>
    <w:rsid w:val="00030BC3"/>
    <w:rsid w:val="000446AE"/>
    <w:rsid w:val="000566C5"/>
    <w:rsid w:val="00065F63"/>
    <w:rsid w:val="000719E1"/>
    <w:rsid w:val="0007409D"/>
    <w:rsid w:val="00075814"/>
    <w:rsid w:val="000822E1"/>
    <w:rsid w:val="000B26C1"/>
    <w:rsid w:val="000C3757"/>
    <w:rsid w:val="000D23F7"/>
    <w:rsid w:val="000D744A"/>
    <w:rsid w:val="000D74E1"/>
    <w:rsid w:val="000D770A"/>
    <w:rsid w:val="000D797F"/>
    <w:rsid w:val="000E699D"/>
    <w:rsid w:val="000E7A1D"/>
    <w:rsid w:val="000F20AE"/>
    <w:rsid w:val="000F3A4C"/>
    <w:rsid w:val="001068FD"/>
    <w:rsid w:val="00111EFD"/>
    <w:rsid w:val="0011513F"/>
    <w:rsid w:val="00115D24"/>
    <w:rsid w:val="0013164C"/>
    <w:rsid w:val="00133B37"/>
    <w:rsid w:val="0013483D"/>
    <w:rsid w:val="001445A8"/>
    <w:rsid w:val="001456E9"/>
    <w:rsid w:val="0015020E"/>
    <w:rsid w:val="00151F72"/>
    <w:rsid w:val="00155734"/>
    <w:rsid w:val="00165677"/>
    <w:rsid w:val="00166FC0"/>
    <w:rsid w:val="00173B3A"/>
    <w:rsid w:val="00176155"/>
    <w:rsid w:val="0018103C"/>
    <w:rsid w:val="00181751"/>
    <w:rsid w:val="00184E9A"/>
    <w:rsid w:val="001A4A69"/>
    <w:rsid w:val="001D11D6"/>
    <w:rsid w:val="001D3FF8"/>
    <w:rsid w:val="001D4328"/>
    <w:rsid w:val="001F23D7"/>
    <w:rsid w:val="001F4D84"/>
    <w:rsid w:val="00217759"/>
    <w:rsid w:val="002203DA"/>
    <w:rsid w:val="002362C9"/>
    <w:rsid w:val="00247C52"/>
    <w:rsid w:val="00252380"/>
    <w:rsid w:val="00256AF6"/>
    <w:rsid w:val="00264CAC"/>
    <w:rsid w:val="00274CFC"/>
    <w:rsid w:val="0028662B"/>
    <w:rsid w:val="00291F1A"/>
    <w:rsid w:val="00296155"/>
    <w:rsid w:val="002A2A4D"/>
    <w:rsid w:val="002A5264"/>
    <w:rsid w:val="002B5A40"/>
    <w:rsid w:val="002C64D7"/>
    <w:rsid w:val="002C7EBA"/>
    <w:rsid w:val="002D4443"/>
    <w:rsid w:val="002D68C0"/>
    <w:rsid w:val="002E2957"/>
    <w:rsid w:val="002E6EB9"/>
    <w:rsid w:val="002F17C0"/>
    <w:rsid w:val="002F2032"/>
    <w:rsid w:val="002F6C1E"/>
    <w:rsid w:val="0031437B"/>
    <w:rsid w:val="003274B1"/>
    <w:rsid w:val="0033626D"/>
    <w:rsid w:val="00337B9B"/>
    <w:rsid w:val="003409A6"/>
    <w:rsid w:val="003443A4"/>
    <w:rsid w:val="00371584"/>
    <w:rsid w:val="00371A28"/>
    <w:rsid w:val="003723E2"/>
    <w:rsid w:val="003801D6"/>
    <w:rsid w:val="0039015E"/>
    <w:rsid w:val="003B02F3"/>
    <w:rsid w:val="003B6B18"/>
    <w:rsid w:val="003C074D"/>
    <w:rsid w:val="003C6179"/>
    <w:rsid w:val="003D441E"/>
    <w:rsid w:val="003F5E94"/>
    <w:rsid w:val="003F7EDA"/>
    <w:rsid w:val="00401A5C"/>
    <w:rsid w:val="004147C4"/>
    <w:rsid w:val="00430E3A"/>
    <w:rsid w:val="004350E7"/>
    <w:rsid w:val="00444BA5"/>
    <w:rsid w:val="00455D31"/>
    <w:rsid w:val="00492382"/>
    <w:rsid w:val="00493748"/>
    <w:rsid w:val="004A13C1"/>
    <w:rsid w:val="004B34A9"/>
    <w:rsid w:val="004B4984"/>
    <w:rsid w:val="004C5E4B"/>
    <w:rsid w:val="004D6DF4"/>
    <w:rsid w:val="004D734C"/>
    <w:rsid w:val="004E4CD5"/>
    <w:rsid w:val="004F112D"/>
    <w:rsid w:val="004F2B51"/>
    <w:rsid w:val="0050780F"/>
    <w:rsid w:val="00536535"/>
    <w:rsid w:val="00542C18"/>
    <w:rsid w:val="00550618"/>
    <w:rsid w:val="00552E04"/>
    <w:rsid w:val="00561E21"/>
    <w:rsid w:val="00563E31"/>
    <w:rsid w:val="00565343"/>
    <w:rsid w:val="00577078"/>
    <w:rsid w:val="005771E5"/>
    <w:rsid w:val="005831E9"/>
    <w:rsid w:val="00590DC2"/>
    <w:rsid w:val="005920DB"/>
    <w:rsid w:val="005C30C2"/>
    <w:rsid w:val="005C3BD9"/>
    <w:rsid w:val="005C4CB0"/>
    <w:rsid w:val="005D157E"/>
    <w:rsid w:val="005D3CF8"/>
    <w:rsid w:val="005E6D1F"/>
    <w:rsid w:val="005F46F1"/>
    <w:rsid w:val="00602670"/>
    <w:rsid w:val="0060311D"/>
    <w:rsid w:val="00611495"/>
    <w:rsid w:val="006122CA"/>
    <w:rsid w:val="00612CE5"/>
    <w:rsid w:val="006174E8"/>
    <w:rsid w:val="00624DBD"/>
    <w:rsid w:val="006279C9"/>
    <w:rsid w:val="00653BE3"/>
    <w:rsid w:val="006559C3"/>
    <w:rsid w:val="006702FA"/>
    <w:rsid w:val="00670CC6"/>
    <w:rsid w:val="00674896"/>
    <w:rsid w:val="006904F0"/>
    <w:rsid w:val="006C0382"/>
    <w:rsid w:val="006C4924"/>
    <w:rsid w:val="006D3210"/>
    <w:rsid w:val="00704D38"/>
    <w:rsid w:val="00716653"/>
    <w:rsid w:val="007338D3"/>
    <w:rsid w:val="00734282"/>
    <w:rsid w:val="00743EE7"/>
    <w:rsid w:val="00744CE6"/>
    <w:rsid w:val="00751408"/>
    <w:rsid w:val="00751D3A"/>
    <w:rsid w:val="007741C3"/>
    <w:rsid w:val="00776EA9"/>
    <w:rsid w:val="00780332"/>
    <w:rsid w:val="00780DEC"/>
    <w:rsid w:val="00792728"/>
    <w:rsid w:val="00793A64"/>
    <w:rsid w:val="007A5327"/>
    <w:rsid w:val="007B74C0"/>
    <w:rsid w:val="007C2890"/>
    <w:rsid w:val="007D3812"/>
    <w:rsid w:val="007D4377"/>
    <w:rsid w:val="007D58DC"/>
    <w:rsid w:val="007E4F9B"/>
    <w:rsid w:val="007F5976"/>
    <w:rsid w:val="007F77D5"/>
    <w:rsid w:val="008042F1"/>
    <w:rsid w:val="008105BF"/>
    <w:rsid w:val="008176E2"/>
    <w:rsid w:val="00823945"/>
    <w:rsid w:val="00833EBF"/>
    <w:rsid w:val="008400A0"/>
    <w:rsid w:val="00840765"/>
    <w:rsid w:val="008452BB"/>
    <w:rsid w:val="00853680"/>
    <w:rsid w:val="008802F2"/>
    <w:rsid w:val="00896087"/>
    <w:rsid w:val="008A020E"/>
    <w:rsid w:val="008B5A09"/>
    <w:rsid w:val="008E15B9"/>
    <w:rsid w:val="008E7665"/>
    <w:rsid w:val="008E7C85"/>
    <w:rsid w:val="0091763C"/>
    <w:rsid w:val="00924B8B"/>
    <w:rsid w:val="00934122"/>
    <w:rsid w:val="00936923"/>
    <w:rsid w:val="00942C71"/>
    <w:rsid w:val="00961893"/>
    <w:rsid w:val="009708A7"/>
    <w:rsid w:val="00974689"/>
    <w:rsid w:val="00977ACA"/>
    <w:rsid w:val="009855E7"/>
    <w:rsid w:val="009A48BF"/>
    <w:rsid w:val="009A7870"/>
    <w:rsid w:val="009B105C"/>
    <w:rsid w:val="009B17F3"/>
    <w:rsid w:val="009B2655"/>
    <w:rsid w:val="009C7F0E"/>
    <w:rsid w:val="009D5027"/>
    <w:rsid w:val="00A0072E"/>
    <w:rsid w:val="00A00A68"/>
    <w:rsid w:val="00A102DA"/>
    <w:rsid w:val="00A11CAD"/>
    <w:rsid w:val="00A244D4"/>
    <w:rsid w:val="00A4447F"/>
    <w:rsid w:val="00A4538C"/>
    <w:rsid w:val="00A51B9A"/>
    <w:rsid w:val="00A51BBA"/>
    <w:rsid w:val="00A520AB"/>
    <w:rsid w:val="00A524AB"/>
    <w:rsid w:val="00A5265A"/>
    <w:rsid w:val="00A53472"/>
    <w:rsid w:val="00A57833"/>
    <w:rsid w:val="00A63477"/>
    <w:rsid w:val="00A72365"/>
    <w:rsid w:val="00A97416"/>
    <w:rsid w:val="00AA534E"/>
    <w:rsid w:val="00AB5D6E"/>
    <w:rsid w:val="00AC206D"/>
    <w:rsid w:val="00AC7476"/>
    <w:rsid w:val="00AD7957"/>
    <w:rsid w:val="00AE5B08"/>
    <w:rsid w:val="00AE7089"/>
    <w:rsid w:val="00AF5CAD"/>
    <w:rsid w:val="00B1330B"/>
    <w:rsid w:val="00B33814"/>
    <w:rsid w:val="00B41FB0"/>
    <w:rsid w:val="00B435F6"/>
    <w:rsid w:val="00B51B35"/>
    <w:rsid w:val="00B5428E"/>
    <w:rsid w:val="00B817AE"/>
    <w:rsid w:val="00B8447A"/>
    <w:rsid w:val="00B85ECC"/>
    <w:rsid w:val="00B91B59"/>
    <w:rsid w:val="00B9302B"/>
    <w:rsid w:val="00BA0AC1"/>
    <w:rsid w:val="00BA42A9"/>
    <w:rsid w:val="00BA719B"/>
    <w:rsid w:val="00BC0C28"/>
    <w:rsid w:val="00BE62D6"/>
    <w:rsid w:val="00BE67A4"/>
    <w:rsid w:val="00BF1AC9"/>
    <w:rsid w:val="00BF3EAF"/>
    <w:rsid w:val="00BF6C2F"/>
    <w:rsid w:val="00C042C2"/>
    <w:rsid w:val="00C06F01"/>
    <w:rsid w:val="00C10000"/>
    <w:rsid w:val="00C13393"/>
    <w:rsid w:val="00C15DE5"/>
    <w:rsid w:val="00C16F66"/>
    <w:rsid w:val="00C31534"/>
    <w:rsid w:val="00C3342C"/>
    <w:rsid w:val="00C428E4"/>
    <w:rsid w:val="00C51A49"/>
    <w:rsid w:val="00C57C64"/>
    <w:rsid w:val="00C711CD"/>
    <w:rsid w:val="00C95A91"/>
    <w:rsid w:val="00CF7C2A"/>
    <w:rsid w:val="00D01313"/>
    <w:rsid w:val="00D03110"/>
    <w:rsid w:val="00D04F24"/>
    <w:rsid w:val="00D2251D"/>
    <w:rsid w:val="00D300DB"/>
    <w:rsid w:val="00D34DD4"/>
    <w:rsid w:val="00D43DCE"/>
    <w:rsid w:val="00D47950"/>
    <w:rsid w:val="00D52A59"/>
    <w:rsid w:val="00D5555D"/>
    <w:rsid w:val="00D5580E"/>
    <w:rsid w:val="00D57A26"/>
    <w:rsid w:val="00D6428E"/>
    <w:rsid w:val="00D804B4"/>
    <w:rsid w:val="00D86412"/>
    <w:rsid w:val="00D90D25"/>
    <w:rsid w:val="00DA716F"/>
    <w:rsid w:val="00DC6088"/>
    <w:rsid w:val="00DD3211"/>
    <w:rsid w:val="00DD5655"/>
    <w:rsid w:val="00DD74C2"/>
    <w:rsid w:val="00DE6598"/>
    <w:rsid w:val="00DF3D23"/>
    <w:rsid w:val="00DF6238"/>
    <w:rsid w:val="00E0497C"/>
    <w:rsid w:val="00E130E8"/>
    <w:rsid w:val="00E32793"/>
    <w:rsid w:val="00E511D7"/>
    <w:rsid w:val="00E603FA"/>
    <w:rsid w:val="00E60F1C"/>
    <w:rsid w:val="00E65B31"/>
    <w:rsid w:val="00E72116"/>
    <w:rsid w:val="00E768D4"/>
    <w:rsid w:val="00E82434"/>
    <w:rsid w:val="00E85829"/>
    <w:rsid w:val="00E90D8B"/>
    <w:rsid w:val="00EA14D2"/>
    <w:rsid w:val="00EA4696"/>
    <w:rsid w:val="00EC3C9E"/>
    <w:rsid w:val="00EC578D"/>
    <w:rsid w:val="00EE240E"/>
    <w:rsid w:val="00EF1EFF"/>
    <w:rsid w:val="00EF72DF"/>
    <w:rsid w:val="00F0116C"/>
    <w:rsid w:val="00F04ADB"/>
    <w:rsid w:val="00F12162"/>
    <w:rsid w:val="00F43B1D"/>
    <w:rsid w:val="00F46721"/>
    <w:rsid w:val="00F51335"/>
    <w:rsid w:val="00F5175A"/>
    <w:rsid w:val="00F574D2"/>
    <w:rsid w:val="00F6004A"/>
    <w:rsid w:val="00F60167"/>
    <w:rsid w:val="00F618D3"/>
    <w:rsid w:val="00F6253C"/>
    <w:rsid w:val="00F62B0E"/>
    <w:rsid w:val="00F637E9"/>
    <w:rsid w:val="00F71C12"/>
    <w:rsid w:val="00F7520D"/>
    <w:rsid w:val="00F82326"/>
    <w:rsid w:val="00F834D5"/>
    <w:rsid w:val="00F92A50"/>
    <w:rsid w:val="00F96ACA"/>
    <w:rsid w:val="00FA1A01"/>
    <w:rsid w:val="00FB22FB"/>
    <w:rsid w:val="00FB6B8B"/>
    <w:rsid w:val="00FC0137"/>
    <w:rsid w:val="00FC2B76"/>
    <w:rsid w:val="00FD121D"/>
    <w:rsid w:val="00FD7C3F"/>
    <w:rsid w:val="00FF0FEA"/>
    <w:rsid w:val="00FF55BC"/>
    <w:rsid w:val="00FF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68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locked/>
    <w:rsid w:val="00E8582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00A6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00A68"/>
    <w:pPr>
      <w:ind w:left="720"/>
    </w:pPr>
  </w:style>
  <w:style w:type="paragraph" w:styleId="a5">
    <w:name w:val="Balloon Text"/>
    <w:basedOn w:val="a"/>
    <w:link w:val="a6"/>
    <w:uiPriority w:val="99"/>
    <w:semiHidden/>
    <w:rsid w:val="00C57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57C64"/>
    <w:rPr>
      <w:rFonts w:ascii="Segoe UI" w:hAnsi="Segoe UI" w:cs="Segoe UI"/>
      <w:sz w:val="18"/>
      <w:szCs w:val="18"/>
    </w:rPr>
  </w:style>
  <w:style w:type="character" w:styleId="a7">
    <w:name w:val="Hyperlink"/>
    <w:uiPriority w:val="99"/>
    <w:rsid w:val="00561E21"/>
    <w:rPr>
      <w:color w:val="0000FF"/>
      <w:u w:val="single"/>
    </w:rPr>
  </w:style>
  <w:style w:type="paragraph" w:styleId="a8">
    <w:name w:val="Body Text Indent"/>
    <w:basedOn w:val="a"/>
    <w:link w:val="a9"/>
    <w:uiPriority w:val="99"/>
    <w:rsid w:val="002B5A40"/>
    <w:pPr>
      <w:spacing w:after="0" w:line="240" w:lineRule="auto"/>
      <w:ind w:firstLine="1134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a9">
    <w:name w:val="Основной текст с отступом Знак"/>
    <w:link w:val="a8"/>
    <w:uiPriority w:val="99"/>
    <w:locked/>
    <w:rsid w:val="002B5A40"/>
    <w:rPr>
      <w:rFonts w:ascii="Times New Roman" w:hAnsi="Times New Roman" w:cs="Times New Roman"/>
      <w:sz w:val="20"/>
      <w:szCs w:val="20"/>
      <w:lang w:val="uk-UA" w:eastAsia="ru-RU"/>
    </w:rPr>
  </w:style>
  <w:style w:type="paragraph" w:styleId="aa">
    <w:name w:val="header"/>
    <w:basedOn w:val="a"/>
    <w:link w:val="ab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C3342C"/>
  </w:style>
  <w:style w:type="paragraph" w:styleId="ac">
    <w:name w:val="footer"/>
    <w:basedOn w:val="a"/>
    <w:link w:val="ad"/>
    <w:uiPriority w:val="99"/>
    <w:rsid w:val="00C334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locked/>
    <w:rsid w:val="00C3342C"/>
  </w:style>
  <w:style w:type="character" w:customStyle="1" w:styleId="ae">
    <w:name w:val="Основной текст_"/>
    <w:link w:val="3"/>
    <w:uiPriority w:val="99"/>
    <w:locked/>
    <w:rsid w:val="004350E7"/>
    <w:rPr>
      <w:spacing w:val="4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4350E7"/>
    <w:pPr>
      <w:widowControl w:val="0"/>
      <w:shd w:val="clear" w:color="auto" w:fill="FFFFFF"/>
      <w:spacing w:before="360" w:after="240" w:line="317" w:lineRule="exact"/>
      <w:jc w:val="both"/>
    </w:pPr>
    <w:rPr>
      <w:spacing w:val="4"/>
      <w:sz w:val="25"/>
      <w:szCs w:val="25"/>
      <w:lang w:eastAsia="ru-RU"/>
    </w:rPr>
  </w:style>
  <w:style w:type="paragraph" w:customStyle="1" w:styleId="1">
    <w:name w:val="Знак1"/>
    <w:basedOn w:val="a"/>
    <w:uiPriority w:val="99"/>
    <w:rsid w:val="00A244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">
    <w:name w:val="Знак1"/>
    <w:basedOn w:val="a"/>
    <w:rsid w:val="00247C5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E85829"/>
    <w:rPr>
      <w:rFonts w:ascii="Times New Roman" w:eastAsia="Times New Roman" w:hAnsi="Times New Roman"/>
      <w:b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fv.10@gmail.co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vpfv.10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zorro.sale/info/elektronni-majdanchiki-ets-prozorroprodazhi-cbd2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D0BDF-6079-446E-8B12-7CABC210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6</Pages>
  <Words>1150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GreenHouse</Company>
  <LinksUpToDate>false</LinksUpToDate>
  <CharactersWithSpaces>9593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Flowers</cp:lastModifiedBy>
  <cp:revision>22</cp:revision>
  <cp:lastPrinted>2019-10-23T08:03:00Z</cp:lastPrinted>
  <dcterms:created xsi:type="dcterms:W3CDTF">2019-10-23T08:06:00Z</dcterms:created>
  <dcterms:modified xsi:type="dcterms:W3CDTF">2019-11-14T13:51:00Z</dcterms:modified>
</cp:coreProperties>
</file>